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Sarepta Therapeutics,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001-14895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93-0797222</w:t>
      </w:r>
    </w:p>
    <w:p>
      <w:pPr>
        <w:spacing w:after="0" w:line="39" w:lineRule="exact"/>
        <w:rPr>
          <w:sz w:val="24"/>
          <w:szCs w:val="24"/>
          <w:color w:val="auto"/>
        </w:rPr>
      </w:pPr>
    </w:p>
    <w:p>
      <w:pPr>
        <w:sectPr>
          <w:pgSz w:w="11900" w:h="16838" w:orient="portrait"/>
          <w:cols w:equalWidth="0" w:num="3">
            <w:col w:w="4620" w:space="720"/>
            <w:col w:w="3020" w:space="720"/>
            <w:col w:w="2340"/>
          </w:cols>
          <w:pgMar w:left="240" w:top="598" w:right="239" w:bottom="1440" w:gutter="0" w:footer="0" w:header="0"/>
          <w:type w:val="continuous"/>
        </w:sectPr>
      </w:pP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2"/>
          <w:szCs w:val="12"/>
          <w:b w:val="1"/>
          <w:bCs w:val="1"/>
          <w:color w:val="auto"/>
        </w:rPr>
        <w:t>(State or Other Jurisdiction</w:t>
      </w: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4"/>
          <w:szCs w:val="14"/>
          <w:b w:val="1"/>
          <w:bCs w:val="1"/>
          <w:color w:val="auto"/>
        </w:rPr>
        <w:t>(IRS Employer</w:t>
      </w:r>
    </w:p>
    <w:p>
      <w:pPr>
        <w:jc w:val="center"/>
        <w:ind w:right="1360"/>
        <w:spacing w:after="0"/>
        <w:rPr>
          <w:sz w:val="20"/>
          <w:szCs w:val="20"/>
          <w:color w:val="auto"/>
        </w:rPr>
      </w:pPr>
      <w:r>
        <w:rPr>
          <w:rFonts w:ascii="Arial" w:cs="Arial" w:eastAsia="Arial" w:hAnsi="Arial"/>
          <w:sz w:val="12"/>
          <w:szCs w:val="12"/>
          <w:b w:val="1"/>
          <w:bCs w:val="1"/>
          <w:color w:val="auto"/>
        </w:rPr>
        <w:t>Identification No.)</w:t>
      </w:r>
    </w:p>
    <w:p>
      <w:pPr>
        <w:spacing w:after="0" w:line="193" w:lineRule="exact"/>
        <w:rPr>
          <w:sz w:val="24"/>
          <w:szCs w:val="24"/>
          <w:color w:val="auto"/>
        </w:rPr>
      </w:pPr>
    </w:p>
    <w:p>
      <w:pPr>
        <w:sectPr>
          <w:pgSz w:w="11900" w:h="16838" w:orient="portrait"/>
          <w:cols w:equalWidth="0" w:num="3">
            <w:col w:w="4220" w:space="720"/>
            <w:col w:w="3340" w:space="720"/>
            <w:col w:w="2420"/>
          </w:cols>
          <w:pgMar w:left="240" w:top="59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215 First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415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 274-4000</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SRPT</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20" w:firstLine="761"/>
        <w:spacing w:after="0" w:line="264" w:lineRule="auto"/>
        <w:rPr>
          <w:sz w:val="20"/>
          <w:szCs w:val="20"/>
          <w:color w:val="auto"/>
        </w:rPr>
      </w:pPr>
      <w:r>
        <w:rPr>
          <w:rFonts w:ascii="Arial" w:cs="Arial" w:eastAsia="Arial" w:hAnsi="Arial"/>
          <w:sz w:val="18"/>
          <w:szCs w:val="18"/>
          <w:color w:val="auto"/>
        </w:rPr>
        <w:t>On February 14, 2020, Sarepta Therapeutics Three, LLC, a subsidiary of Sarepta Therapeutics, Inc. (“</w:t>
      </w:r>
      <w:r>
        <w:rPr>
          <w:rFonts w:ascii="Arial" w:cs="Arial" w:eastAsia="Arial" w:hAnsi="Arial"/>
          <w:sz w:val="18"/>
          <w:szCs w:val="18"/>
          <w:u w:val="single" w:color="auto"/>
          <w:color w:val="auto"/>
        </w:rPr>
        <w:t>Sarepta</w:t>
      </w:r>
      <w:r>
        <w:rPr>
          <w:rFonts w:ascii="Arial" w:cs="Arial" w:eastAsia="Arial" w:hAnsi="Arial"/>
          <w:sz w:val="18"/>
          <w:szCs w:val="18"/>
          <w:color w:val="auto"/>
        </w:rPr>
        <w:t>”), and F. Hoffman-La Roche Ltd (“</w:t>
      </w:r>
      <w:r>
        <w:rPr>
          <w:rFonts w:ascii="Arial" w:cs="Arial" w:eastAsia="Arial" w:hAnsi="Arial"/>
          <w:sz w:val="18"/>
          <w:szCs w:val="18"/>
          <w:u w:val="single" w:color="auto"/>
          <w:color w:val="auto"/>
        </w:rPr>
        <w:t>Roche</w:t>
      </w:r>
      <w:r>
        <w:rPr>
          <w:rFonts w:ascii="Arial" w:cs="Arial" w:eastAsia="Arial" w:hAnsi="Arial"/>
          <w:sz w:val="18"/>
          <w:szCs w:val="18"/>
          <w:color w:val="auto"/>
        </w:rPr>
        <w:t>”) closed the transactions contemplated by that certain License, Collaboration, and Option Agreement, dated as of December 21, 2019 (the “</w:t>
      </w:r>
      <w:r>
        <w:rPr>
          <w:rFonts w:ascii="Arial" w:cs="Arial" w:eastAsia="Arial" w:hAnsi="Arial"/>
          <w:sz w:val="18"/>
          <w:szCs w:val="18"/>
          <w:u w:val="single" w:color="auto"/>
          <w:color w:val="auto"/>
        </w:rPr>
        <w:t>Collaboration Agreement</w:t>
      </w:r>
      <w:r>
        <w:rPr>
          <w:rFonts w:ascii="Arial" w:cs="Arial" w:eastAsia="Arial" w:hAnsi="Arial"/>
          <w:sz w:val="18"/>
          <w:szCs w:val="18"/>
          <w:color w:val="auto"/>
        </w:rPr>
        <w:t>”).</w:t>
      </w:r>
    </w:p>
    <w:p>
      <w:pPr>
        <w:spacing w:after="0" w:line="73" w:lineRule="exact"/>
        <w:rPr>
          <w:sz w:val="20"/>
          <w:szCs w:val="20"/>
          <w:color w:val="auto"/>
        </w:rPr>
      </w:pPr>
    </w:p>
    <w:p>
      <w:pPr>
        <w:ind w:right="400" w:firstLine="761"/>
        <w:spacing w:after="0" w:line="277" w:lineRule="auto"/>
        <w:rPr>
          <w:sz w:val="20"/>
          <w:szCs w:val="20"/>
          <w:color w:val="auto"/>
        </w:rPr>
      </w:pPr>
      <w:r>
        <w:rPr>
          <w:rFonts w:ascii="Arial" w:cs="Arial" w:eastAsia="Arial" w:hAnsi="Arial"/>
          <w:sz w:val="18"/>
          <w:szCs w:val="18"/>
          <w:color w:val="auto"/>
        </w:rPr>
        <w:t>Also on February 14, 2020, Sarepta and Roche Finance Ltd, an affiliate of Roche, closed the transactions contemplated by that certain Stock Purchase Agreement, dated as of December 21, 2019 (the “</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w:t>
      </w:r>
    </w:p>
    <w:p>
      <w:pPr>
        <w:spacing w:after="0" w:line="62"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Sarepta previously disclosed the entry into the Collaboration Agreement and the Stock Purchase Agreement in its Current Report on Form 8-K, filed with the Securities and Exchange Commission on December 23, 2019. Additional details regarding the transactions contemplated by the Collaboration Agreement and the Stock Purchase Agreement can be found therein.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48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Sarepta Therapeutics, Inc.</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February 18, 2020</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Douglas S. Ingram</w:t>
            </w:r>
          </w:p>
        </w:tc>
      </w:tr>
      <w:tr>
        <w:trPr>
          <w:trHeight w:val="222"/>
        </w:trPr>
        <w:tc>
          <w:tcPr>
            <w:tcW w:w="37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Douglas S. Ingram</w:t>
            </w:r>
          </w:p>
        </w:tc>
      </w:tr>
      <w:tr>
        <w:trPr>
          <w:trHeight w:val="230"/>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3720" w:type="dxa"/>
            <w:vAlign w:val="bottom"/>
          </w:tcPr>
          <w:p>
            <w:pPr>
              <w:spacing w:after="0"/>
              <w:rPr>
                <w:sz w:val="24"/>
                <w:szCs w:val="24"/>
                <w:color w:val="auto"/>
              </w:rPr>
            </w:pP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52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2020-02-18T07:32:34Z</dcterms:created>
  <dcterms:modified xsi:type="dcterms:W3CDTF">2020-02-18T07:32:34Z</dcterms:modified>
</cp:coreProperties>
</file>