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08,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Sarepta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001-14895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93-0797222</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215 First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274-4000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SRPT</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 w:firstLine="315"/>
        <w:spacing w:after="0" w:line="254" w:lineRule="auto"/>
        <w:rPr>
          <w:sz w:val="20"/>
          <w:szCs w:val="20"/>
          <w:color w:val="auto"/>
        </w:rPr>
      </w:pPr>
      <w:r>
        <w:rPr>
          <w:rFonts w:ascii="Times New Roman" w:cs="Times New Roman" w:eastAsia="Times New Roman" w:hAnsi="Times New Roman"/>
          <w:sz w:val="18"/>
          <w:szCs w:val="18"/>
          <w:color w:val="auto"/>
        </w:rPr>
        <w:t>On January 8, 2024, Douglas S. Ingram, President and Chief Executive Officer of Sarepta Therapeutics, Inc. (the “Company”) disclosed certain preliminary financial information for the year ended December 31, 2023 during the Company’s presentation at the 42nd Annual J.P. Morgan Healthcare Conference (the “Conference”) and in discussions with third parties at the Conference. Specifically, the Company disclosed its (unaudited) cash position of approximately $1.7 billion as of December 31, 2023, and that the Company generated approximately $1.145 billion in total net product revenue (unaudited) in the year ended December 31, 2023 from sales of the Company’s four approved products, which includes: (i) approximately $234.3 million in net product revenue (unaudited) in the fourth quarter ended December 31, 2023 and approximately $945.0 million in net product revenue (unaudited) in the year ended December 31, 2023, each from sales of EXONDYS 51® (eteplirsen) Injection, VYONDYS 53® (golodirsen) Injection and AMONDYS 45® (casimersen) Injection, and (ii) approximately $131.3 million in net product revenue (unaudited) in the fourth quarter ended December 31, 2023 and approximately $200.4 million in net product revenue (unaudited) in the year ended December 31, 2023, each from sales of ELEVIDYS.</w:t>
      </w:r>
    </w:p>
    <w:p>
      <w:pPr>
        <w:spacing w:after="0" w:line="186" w:lineRule="exact"/>
        <w:rPr>
          <w:sz w:val="20"/>
          <w:szCs w:val="20"/>
          <w:color w:val="auto"/>
        </w:rPr>
      </w:pPr>
    </w:p>
    <w:p>
      <w:pPr>
        <w:ind w:right="140" w:firstLine="315"/>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in this Item 2.02 is unaudited and preliminary and does not present all information necessary for an understanding of the Company’s financial condition as of December 31, 2023 and its results of operations for the three months and year ended December 31, 2023. The audit of the Company’s financial statements for the year ended December 31, 2023 is ongoing and could result in changes to the information in this Item 2.02.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420" w:firstLine="270"/>
        <w:spacing w:after="0" w:line="282" w:lineRule="auto"/>
        <w:rPr>
          <w:sz w:val="20"/>
          <w:szCs w:val="20"/>
          <w:color w:val="auto"/>
        </w:rPr>
      </w:pPr>
      <w:r>
        <w:rPr>
          <w:rFonts w:ascii="Times New Roman" w:cs="Times New Roman" w:eastAsia="Times New Roman" w:hAnsi="Times New Roman"/>
          <w:sz w:val="18"/>
          <w:szCs w:val="18"/>
          <w:color w:val="auto"/>
        </w:rPr>
        <w:t>The disclosure in Item 2.02 above is hereby incorporated by reference into this Item 7.01. On January 8, 2024, the Company issued a press release disclosing such information.</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 copy of the press release is furnished with this report as Exhibit 99.1.</w:t>
      </w:r>
    </w:p>
    <w:p>
      <w:pPr>
        <w:spacing w:after="0" w:line="2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 this report, including Exhibit 99.1 attached hereto, is furnished pursuant to Items 2.02 and 7.01 and shall not be deemed “filed” for the purposes of Section 18 of the Securities and Exchange Act of 1934, as amended (the “Exchange Act”), or otherwise subject to the liabilities of that section. It may only be incorporated by reference in another filing under the Exchange Act or the Securities Act of 1933, as amended, if such subsequent filing specifically references the information furnished pursuant to Items 2.02 and 7.01 of this report.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Current Report contains forward looking statements. Any statements contained in this Current Report that are not statements of historical fact may be deemed to be forward-looking statements. Words such as “believes,” “anticipates,” “plans,” “expects,” “will,” “may,” “intends,” “prepares,” “looks,” “potential,” “possible” and similar expressions are intended to identify forward-looking statements. These forward-looking statements include statements relating to the Company's expected financial results.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These forward-looking statements involve risks and uncertainties, many of which are beyond the Company's control. Actual results could materially differ from those stated or implied by these forward-looking statements as a result of such risks and uncertainties. Known risk factors include the following: the estimates and judgments the Company makes, or the assumptions on which it relies, in preparing its consolidated financial statements could prove inaccurate; the Company's revenues and operating results could fluctuate significantly, which may adversely affect the Company's stock price; and those risks identified under the heading “Risk Factors” in the Company's Quarterly Report on Form 10-Q for the quarter ended September 30, 2023 as well as other SEC filings made by the Company which you are encouraged to review.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738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3"/>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7380" w:type="dxa"/>
            <w:vAlign w:val="bottom"/>
            <w:tcBorders>
              <w:bottom w:val="single" w:sz="8" w:color="auto"/>
            </w:tcBorders>
          </w:tcPr>
          <w:p>
            <w:pPr>
              <w:spacing w:after="0"/>
              <w:rPr>
                <w:sz w:val="15"/>
                <w:szCs w:val="15"/>
                <w:color w:val="auto"/>
              </w:rPr>
            </w:pPr>
          </w:p>
        </w:tc>
      </w:tr>
      <w:tr>
        <w:trPr>
          <w:trHeight w:val="169"/>
        </w:trPr>
        <w:tc>
          <w:tcPr>
            <w:tcW w:w="960" w:type="dxa"/>
            <w:vAlign w:val="bottom"/>
          </w:tcPr>
          <w:p>
            <w:pPr>
              <w:jc w:val="right"/>
              <w:ind w:right="542"/>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14"/>
                <w:szCs w:val="14"/>
                <w:color w:val="auto"/>
              </w:rPr>
            </w:pPr>
          </w:p>
        </w:tc>
        <w:tc>
          <w:tcPr>
            <w:tcW w:w="262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dated January 8, 2024</w:t>
            </w:r>
          </w:p>
        </w:tc>
        <w:tc>
          <w:tcPr>
            <w:tcW w:w="7380" w:type="dxa"/>
            <w:vAlign w:val="bottom"/>
          </w:tcPr>
          <w:p>
            <w:pPr>
              <w:spacing w:after="0"/>
              <w:rPr>
                <w:sz w:val="14"/>
                <w:szCs w:val="14"/>
                <w:color w:val="auto"/>
              </w:rPr>
            </w:pPr>
          </w:p>
        </w:tc>
      </w:tr>
    </w:tbl>
    <w:p>
      <w:pPr>
        <w:spacing w:after="0" w:line="9" w:lineRule="exact"/>
        <w:rPr>
          <w:sz w:val="20"/>
          <w:szCs w:val="20"/>
          <w:color w:val="auto"/>
        </w:rPr>
      </w:pPr>
    </w:p>
    <w:p>
      <w:pPr>
        <w:ind w:left="1240" w:right="240" w:hanging="1219"/>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of Sarepta Therapeutics, Inc.,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Sarepta Therapeutics, Inc.</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S. Ingram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Douglas S. Ingram</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5"/>
          <w:szCs w:val="25"/>
          <w:b w:val="1"/>
          <w:bCs w:val="1"/>
          <w:color w:val="auto"/>
        </w:rPr>
        <w:t>Exhibit 99.1</w:t>
      </w:r>
    </w:p>
    <w:p>
      <w:pPr>
        <w:spacing w:after="0" w:line="32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661B62"/>
        </w:rPr>
        <w:t>Sarepta Therapeutcs Reports Preliminary* Fourth Quarter and Full-Year 2023 Net Product Revenue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9"/>
          <w:szCs w:val="19"/>
          <w:b w:val="1"/>
          <w:bCs w:val="1"/>
          <w:i w:val="1"/>
          <w:iCs w:val="1"/>
          <w:color w:val="auto"/>
        </w:rPr>
        <w:t>Preliminary total net product revenue is expected to total $1.145 billion for full-year 2023</w:t>
      </w:r>
    </w:p>
    <w:p>
      <w:pPr>
        <w:spacing w:after="0" w:line="227" w:lineRule="exact"/>
        <w:rPr>
          <w:sz w:val="20"/>
          <w:szCs w:val="20"/>
          <w:color w:val="auto"/>
        </w:rPr>
      </w:pPr>
    </w:p>
    <w:p>
      <w:pPr>
        <w:ind w:left="300" w:right="20" w:hanging="285"/>
        <w:spacing w:after="0" w:line="254" w:lineRule="auto"/>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9"/>
          <w:szCs w:val="19"/>
          <w:b w:val="1"/>
          <w:bCs w:val="1"/>
          <w:i w:val="1"/>
          <w:iCs w:val="1"/>
          <w:color w:val="auto"/>
        </w:rPr>
        <w:t>Preliminary ELEVIDYS net product revenue is expected to be $131.3 million for the fourth quarter and $200.4 million for full-year</w:t>
      </w:r>
      <w:r>
        <w:rPr>
          <w:rFonts w:ascii="Times New Roman" w:cs="Times New Roman" w:eastAsia="Times New Roman" w:hAnsi="Times New Roman"/>
          <w:sz w:val="18"/>
          <w:szCs w:val="18"/>
          <w:color w:val="auto"/>
        </w:rPr>
        <w:t xml:space="preserve"> </w:t>
      </w:r>
      <w:r>
        <w:rPr>
          <w:rFonts w:ascii="Calibri" w:cs="Calibri" w:eastAsia="Calibri" w:hAnsi="Calibri"/>
          <w:sz w:val="19"/>
          <w:szCs w:val="19"/>
          <w:b w:val="1"/>
          <w:bCs w:val="1"/>
          <w:i w:val="1"/>
          <w:iCs w:val="1"/>
          <w:color w:val="auto"/>
        </w:rPr>
        <w:t>2023, signifcantly exceeding consensus</w:t>
      </w:r>
    </w:p>
    <w:p>
      <w:pPr>
        <w:spacing w:after="0" w:line="211" w:lineRule="exact"/>
        <w:rPr>
          <w:sz w:val="20"/>
          <w:szCs w:val="20"/>
          <w:color w:val="auto"/>
        </w:rPr>
      </w:pPr>
    </w:p>
    <w:p>
      <w:pPr>
        <w:ind w:left="300" w:right="20" w:hanging="285"/>
        <w:spacing w:after="0" w:line="254" w:lineRule="auto"/>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9"/>
          <w:szCs w:val="19"/>
          <w:b w:val="1"/>
          <w:bCs w:val="1"/>
          <w:i w:val="1"/>
          <w:iCs w:val="1"/>
          <w:color w:val="auto"/>
        </w:rPr>
        <w:t>Preliminary RNA-based PMO net product revenue for the fourth quarter and full-year of 2023 are expected to total $234.3 million</w:t>
      </w:r>
      <w:r>
        <w:rPr>
          <w:rFonts w:ascii="Times New Roman" w:cs="Times New Roman" w:eastAsia="Times New Roman" w:hAnsi="Times New Roman"/>
          <w:sz w:val="18"/>
          <w:szCs w:val="18"/>
          <w:color w:val="auto"/>
        </w:rPr>
        <w:t xml:space="preserve"> </w:t>
      </w:r>
      <w:r>
        <w:rPr>
          <w:rFonts w:ascii="Calibri" w:cs="Calibri" w:eastAsia="Calibri" w:hAnsi="Calibri"/>
          <w:sz w:val="19"/>
          <w:szCs w:val="19"/>
          <w:b w:val="1"/>
          <w:bCs w:val="1"/>
          <w:i w:val="1"/>
          <w:iCs w:val="1"/>
          <w:color w:val="auto"/>
        </w:rPr>
        <w:t>and $945.0 million, respectvely, exceeding 2023 full-year guidance of $925 million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9"/>
          <w:szCs w:val="19"/>
          <w:b w:val="1"/>
          <w:bCs w:val="1"/>
          <w:i w:val="1"/>
          <w:iCs w:val="1"/>
          <w:color w:val="auto"/>
        </w:rPr>
        <w:t>Preliminary year-end 2023 cash, cash equivalents, restricted cash and investments balance of approximately $1.7 billion</w:t>
      </w:r>
    </w:p>
    <w:p>
      <w:pPr>
        <w:spacing w:after="0" w:line="227"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CAMBRIDGE, Mass., Jan. 8, 2024 -- Sarepta Therapeutcs, Inc. (NASDAQ:SRPT), the leader in precision genetc medicine for rare diseases, today reported preliminary* fourth quarter and full-year 2023 net product revenue and cash on hand as of December 31, 2023 as part of its presentaton today at the 42nd Annual J.P. Morgan Healthcare Conference in San Francisco, Calif.</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Financial Update* (preliminary and unaudited):</w:t>
      </w:r>
    </w:p>
    <w:p>
      <w:pPr>
        <w:spacing w:after="0" w:line="22" w:lineRule="exact"/>
        <w:rPr>
          <w:sz w:val="20"/>
          <w:szCs w:val="20"/>
          <w:color w:val="auto"/>
        </w:rPr>
      </w:pPr>
    </w:p>
    <w:p>
      <w:pPr>
        <w:ind w:left="760" w:right="20" w:hanging="378"/>
        <w:spacing w:after="0" w:line="234" w:lineRule="auto"/>
        <w:tabs>
          <w:tab w:leader="none" w:pos="760"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color w:val="auto"/>
        </w:rPr>
        <w:t>Fourth quarter and full-year 2023 net product revenue for ELEVIDYS is expected to be approximately $131.3 million and $200.4 million, respectvely. Sarepta’s expected net product revenue does not include collaboraton revenue.</w:t>
      </w:r>
    </w:p>
    <w:p>
      <w:pPr>
        <w:spacing w:after="0" w:line="23" w:lineRule="exact"/>
        <w:rPr>
          <w:rFonts w:ascii="Times New Roman" w:cs="Times New Roman" w:eastAsia="Times New Roman" w:hAnsi="Times New Roman"/>
          <w:sz w:val="20"/>
          <w:szCs w:val="20"/>
          <w:color w:val="auto"/>
        </w:rPr>
      </w:pPr>
    </w:p>
    <w:p>
      <w:pPr>
        <w:ind w:left="760" w:hanging="378"/>
        <w:spacing w:after="0" w:line="234" w:lineRule="auto"/>
        <w:tabs>
          <w:tab w:leader="none" w:pos="760"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color w:val="auto"/>
        </w:rPr>
        <w:t>Fourth quarter and full-year 2023 net product revenue for Sarepta’s RNA-based PMOs are expected to be approximately $234.3 million and $945.0 million, respectvely. Sarepta’s expected net product revenue does not include collaboraton revenue.</w:t>
      </w:r>
    </w:p>
    <w:p>
      <w:pPr>
        <w:spacing w:after="0" w:line="23" w:lineRule="exact"/>
        <w:rPr>
          <w:rFonts w:ascii="Times New Roman" w:cs="Times New Roman" w:eastAsia="Times New Roman" w:hAnsi="Times New Roman"/>
          <w:sz w:val="20"/>
          <w:szCs w:val="20"/>
          <w:color w:val="auto"/>
        </w:rPr>
      </w:pPr>
    </w:p>
    <w:p>
      <w:pPr>
        <w:ind w:left="760" w:right="20" w:hanging="378"/>
        <w:spacing w:after="0" w:line="234" w:lineRule="auto"/>
        <w:tabs>
          <w:tab w:leader="none" w:pos="760"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color w:val="auto"/>
        </w:rPr>
        <w:t>As of December 31, 2023, the Company had preliminary cash, cash equivalents, restricted cash and investments of approximately $1.7 billion.</w:t>
      </w:r>
    </w:p>
    <w:p>
      <w:pPr>
        <w:spacing w:after="0" w:line="253"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“2023 was a consequental year for Sarepta and the patents we serve, highlighted by the approval, launch and performance of ELEVIDYS, the frst gene therapy to treat Duchenne, and the contnued performance of our PMOs, EXONDYS, VYONDYS, and AMONDYS,” said Doug Ingram, president and chief executve ofcer, Sarepta Therapeutcs. “Our preliminary fnancial results, totaling over $1.145 billion in net product revenue, including over $200 million in the frst two quarters alone for ELEVIDYS, refect our team’s ability to execute and deliver on our commitment to patents.”</w:t>
      </w:r>
    </w:p>
    <w:p>
      <w:pPr>
        <w:spacing w:after="0" w:line="253"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*These preliminary selected fnancial results are unaudited and subject to adjustment. Sarepta will report its fnal and complete fourth quarter and full-year 2023 fnancial results in late February 2024.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231775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 w:name="page5"/>
    <w:bookmarkEnd w:id="4"/>
    <w:p>
      <w:pPr>
        <w:jc w:val="both"/>
        <w:ind w:right="20"/>
        <w:spacing w:after="0" w:line="234" w:lineRule="auto"/>
        <w:rPr>
          <w:sz w:val="20"/>
          <w:szCs w:val="20"/>
          <w:color w:val="auto"/>
        </w:rPr>
      </w:pPr>
      <w:r>
        <w:rPr>
          <w:rFonts w:ascii="Calibri" w:cs="Calibri" w:eastAsia="Calibri" w:hAnsi="Calibri"/>
          <w:sz w:val="20"/>
          <w:szCs w:val="20"/>
          <w:color w:val="auto"/>
        </w:rPr>
        <w:t>Company has not completed its fnancial closing procedures for the quarter or year-ended December 31, 2023 and its actual results could be materially diferent from these preliminary fnancial results.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172A84"/>
        </w:rPr>
        <w:t>About ELEVIDYS (delandistrogene moxeparvovec-rokl)</w:t>
      </w:r>
    </w:p>
    <w:p>
      <w:pPr>
        <w:spacing w:after="0" w:line="9"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 xml:space="preserve">ELEVIDYS (delandistrogene moxeparvovec-rokl) is a single-dose, adeno-associated virus (AAV)-based gene transfer therapy for intravenous infusion designed to address the underlying genetc cause of Duchenne muscular dystrophy (DMD) – mutatons or changes in the dystrophin gene that result in the lack of dystrophin protein – through the delivery of a shortened transgene that codes for the targeted producton of ELEVIDYS micro-dystrophin in skeletal muscle. ELEVIDYS is a one-tme infusion indicated for the treatment of ambulatory pediatric patents aged 4 through 5 years with Duchenne muscular dystrophy with a confrmed mutaton in the </w:t>
      </w:r>
      <w:r>
        <w:rPr>
          <w:rFonts w:ascii="Calibri" w:cs="Calibri" w:eastAsia="Calibri" w:hAnsi="Calibri"/>
          <w:sz w:val="20"/>
          <w:szCs w:val="20"/>
          <w:i w:val="1"/>
          <w:iCs w:val="1"/>
          <w:color w:val="auto"/>
        </w:rPr>
        <w:t>DMD</w:t>
      </w:r>
      <w:r>
        <w:rPr>
          <w:rFonts w:ascii="Calibri" w:cs="Calibri" w:eastAsia="Calibri" w:hAnsi="Calibri"/>
          <w:sz w:val="20"/>
          <w:szCs w:val="20"/>
          <w:color w:val="auto"/>
        </w:rPr>
        <w:t xml:space="preserve"> gene and is approved under accelerated approval based on expression of ELEVIDYS micro-dystrophin in skeletal muscle observed in patents treated with ELEVIDYS. Contnued approval for this indicaton may be contngent upon verifcaton of a clinical beneft in confrmatory trials. ELEVIDYS has met the full statutory standards for safety and efectveness and as such is not considered investgatonal or experimental.</w:t>
      </w:r>
    </w:p>
    <w:p>
      <w:pPr>
        <w:spacing w:after="0" w:line="200" w:lineRule="exact"/>
        <w:rPr>
          <w:sz w:val="20"/>
          <w:szCs w:val="20"/>
          <w:color w:val="auto"/>
        </w:rPr>
      </w:pPr>
    </w:p>
    <w:p>
      <w:pPr>
        <w:spacing w:after="0" w:line="27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In additon to EMBARK, Study SRP-9001-301, which serves as the postmarketng confrmatory study, ELEVIDYS has been evaluated in three clinical studies: SRP-9001-101, SRP-9001-102 and SRP-9001-103. Accelerated approval was primarily based on data from SRP-9001-102 and SRP-9001-103.</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172A84"/>
        </w:rPr>
        <w:t>IMPORTANT SAFETY INFORMATION</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CONTRAINDICATION:</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ELEVIDYS is contraindicated in patents with any deleton in exon 8 and/or exon 9 in the </w:t>
      </w:r>
      <w:r>
        <w:rPr>
          <w:rFonts w:ascii="Calibri" w:cs="Calibri" w:eastAsia="Calibri" w:hAnsi="Calibri"/>
          <w:sz w:val="20"/>
          <w:szCs w:val="20"/>
          <w:i w:val="1"/>
          <w:iCs w:val="1"/>
          <w:color w:val="auto"/>
        </w:rPr>
        <w:t>DMD</w:t>
      </w:r>
      <w:r>
        <w:rPr>
          <w:rFonts w:ascii="Calibri" w:cs="Calibri" w:eastAsia="Calibri" w:hAnsi="Calibri"/>
          <w:sz w:val="20"/>
          <w:szCs w:val="20"/>
          <w:color w:val="auto"/>
        </w:rPr>
        <w:t xml:space="preserve"> gene.</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WARNINGS AND PRECAUTIONS:</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Acute Serious Liver Injury</w:t>
      </w:r>
      <w:r>
        <w:rPr>
          <w:rFonts w:ascii="Calibri" w:cs="Calibri" w:eastAsia="Calibri" w:hAnsi="Calibri"/>
          <w:sz w:val="20"/>
          <w:szCs w:val="20"/>
          <w:color w:val="auto"/>
        </w:rPr>
        <w:t>:</w:t>
      </w:r>
    </w:p>
    <w:p>
      <w:pPr>
        <w:spacing w:after="0" w:line="157" w:lineRule="exact"/>
        <w:rPr>
          <w:sz w:val="20"/>
          <w:szCs w:val="20"/>
          <w:color w:val="auto"/>
        </w:rPr>
      </w:pPr>
    </w:p>
    <w:p>
      <w:pPr>
        <w:ind w:left="380" w:hanging="372"/>
        <w:spacing w:after="0" w:line="234" w:lineRule="auto"/>
        <w:tabs>
          <w:tab w:leader="none" w:pos="380"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color w:val="auto"/>
        </w:rPr>
        <w:t>Acute serious liver injury has been observed with ELEVIDYS. Administraton of ELEVIDYS may result in elevatons of liver enzymes (e.g., GGT, GLDH, ALT, AST) or total bilirubin, typically seen within 8 weeks.</w:t>
      </w:r>
    </w:p>
    <w:p>
      <w:pPr>
        <w:spacing w:after="0" w:line="23" w:lineRule="exact"/>
        <w:rPr>
          <w:rFonts w:ascii="Times New Roman" w:cs="Times New Roman" w:eastAsia="Times New Roman" w:hAnsi="Times New Roman"/>
          <w:sz w:val="20"/>
          <w:szCs w:val="20"/>
          <w:color w:val="auto"/>
        </w:rPr>
      </w:pPr>
    </w:p>
    <w:p>
      <w:pPr>
        <w:jc w:val="both"/>
        <w:ind w:left="380" w:hanging="372"/>
        <w:spacing w:after="0" w:line="236" w:lineRule="auto"/>
        <w:tabs>
          <w:tab w:leader="none" w:pos="380"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color w:val="auto"/>
        </w:rPr>
        <w:t>Patents with preexistng liver impairment, chronic hepatc conditon, or acute liver disease (e.g., acute hepatc viral infecton) may be at higher risk of acute serious liver injury. Postpone ELEVIDYS administraton in patents with acute liver disease untl resolved or controlled.</w:t>
      </w:r>
    </w:p>
    <w:p>
      <w:pPr>
        <w:spacing w:after="0" w:line="22" w:lineRule="exact"/>
        <w:rPr>
          <w:rFonts w:ascii="Times New Roman" w:cs="Times New Roman" w:eastAsia="Times New Roman" w:hAnsi="Times New Roman"/>
          <w:sz w:val="20"/>
          <w:szCs w:val="20"/>
          <w:color w:val="auto"/>
        </w:rPr>
      </w:pPr>
    </w:p>
    <w:p>
      <w:pPr>
        <w:jc w:val="both"/>
        <w:ind w:left="380" w:hanging="372"/>
        <w:spacing w:after="0" w:line="236" w:lineRule="auto"/>
        <w:tabs>
          <w:tab w:leader="none" w:pos="380"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Prior to ELEVIDYS administraton, perform liver enzyme test and monitor liver functon (clinical exam, GGT, and total bilirubin) weekly for the frst 3 months following ELEVIDYS infusion. Contnue monitoring if clinically indicated, untl results are unremarkable (normal clinical exam, GGT and total bilirubin levels return to near baseline levels).</w:t>
      </w:r>
    </w:p>
    <w:p>
      <w:pPr>
        <w:spacing w:after="0" w:line="22" w:lineRule="exact"/>
        <w:rPr>
          <w:rFonts w:ascii="Times New Roman" w:cs="Times New Roman" w:eastAsia="Times New Roman" w:hAnsi="Times New Roman"/>
          <w:sz w:val="20"/>
          <w:szCs w:val="20"/>
          <w:color w:val="auto"/>
        </w:rPr>
      </w:pPr>
    </w:p>
    <w:p>
      <w:pPr>
        <w:ind w:left="380" w:right="20" w:hanging="372"/>
        <w:spacing w:after="0" w:line="234" w:lineRule="auto"/>
        <w:tabs>
          <w:tab w:leader="none" w:pos="380"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Systemic cortcosteroid treatment is recommended for patents before and afer ELEVIDYS infusion. Adjust cortcosteroid regimen when indicated. If acute serious liver injury is suspected, a consultaton with a specialist is recommended.</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Immune-mediated Myosits</w:t>
      </w: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5" w:name="page6"/>
    <w:bookmarkEnd w:id="5"/>
    <w:p>
      <w:pPr>
        <w:jc w:val="both"/>
        <w:ind w:left="380" w:right="20" w:hanging="372"/>
        <w:spacing w:after="0" w:line="236" w:lineRule="auto"/>
        <w:tabs>
          <w:tab w:leader="none" w:pos="380" w:val="left"/>
        </w:tabs>
        <w:numPr>
          <w:ilvl w:val="0"/>
          <w:numId w:val="6"/>
        </w:numPr>
        <w:rPr>
          <w:rFonts w:ascii="Times New Roman" w:cs="Times New Roman" w:eastAsia="Times New Roman" w:hAnsi="Times New Roman"/>
          <w:sz w:val="20"/>
          <w:szCs w:val="20"/>
          <w:color w:val="auto"/>
        </w:rPr>
      </w:pPr>
      <w:r>
        <w:rPr>
          <w:rFonts w:ascii="Calibri" w:cs="Calibri" w:eastAsia="Calibri" w:hAnsi="Calibri"/>
          <w:sz w:val="20"/>
          <w:szCs w:val="20"/>
          <w:color w:val="auto"/>
        </w:rPr>
        <w:t xml:space="preserve">In clinical trials, immune-mediated myosits has been observed approximately 1 month following ELEVIDYS infusion in patents with deleton mutatons involving exon 8 and/or exon 9 in the </w:t>
      </w:r>
      <w:r>
        <w:rPr>
          <w:rFonts w:ascii="Calibri" w:cs="Calibri" w:eastAsia="Calibri" w:hAnsi="Calibri"/>
          <w:sz w:val="20"/>
          <w:szCs w:val="20"/>
          <w:i w:val="1"/>
          <w:iCs w:val="1"/>
          <w:color w:val="auto"/>
        </w:rPr>
        <w:t>DMD</w:t>
      </w:r>
      <w:r>
        <w:rPr>
          <w:rFonts w:ascii="Calibri" w:cs="Calibri" w:eastAsia="Calibri" w:hAnsi="Calibri"/>
          <w:sz w:val="20"/>
          <w:szCs w:val="20"/>
          <w:color w:val="auto"/>
        </w:rPr>
        <w:t xml:space="preserve"> gene. Symptoms of severe muscle weakness including dysphagia, dyspnea and hypophonia were observed.</w:t>
      </w:r>
    </w:p>
    <w:p>
      <w:pPr>
        <w:spacing w:after="0" w:line="22" w:lineRule="exact"/>
        <w:rPr>
          <w:rFonts w:ascii="Times New Roman" w:cs="Times New Roman" w:eastAsia="Times New Roman" w:hAnsi="Times New Roman"/>
          <w:sz w:val="20"/>
          <w:szCs w:val="20"/>
          <w:color w:val="auto"/>
        </w:rPr>
      </w:pPr>
    </w:p>
    <w:p>
      <w:pPr>
        <w:ind w:left="380" w:right="20" w:hanging="372"/>
        <w:spacing w:after="0" w:line="234" w:lineRule="auto"/>
        <w:tabs>
          <w:tab w:leader="none" w:pos="380" w:val="left"/>
        </w:tabs>
        <w:numPr>
          <w:ilvl w:val="0"/>
          <w:numId w:val="6"/>
        </w:numPr>
        <w:rPr>
          <w:rFonts w:ascii="Times New Roman" w:cs="Times New Roman" w:eastAsia="Times New Roman" w:hAnsi="Times New Roman"/>
          <w:sz w:val="20"/>
          <w:szCs w:val="20"/>
          <w:color w:val="auto"/>
        </w:rPr>
      </w:pPr>
      <w:r>
        <w:rPr>
          <w:rFonts w:ascii="Calibri" w:cs="Calibri" w:eastAsia="Calibri" w:hAnsi="Calibri"/>
          <w:sz w:val="20"/>
          <w:szCs w:val="20"/>
          <w:color w:val="auto"/>
        </w:rPr>
        <w:t xml:space="preserve">Limited data are available for ELEVIDYS treatment in patents with mutatons in the </w:t>
      </w:r>
      <w:r>
        <w:rPr>
          <w:rFonts w:ascii="Calibri" w:cs="Calibri" w:eastAsia="Calibri" w:hAnsi="Calibri"/>
          <w:sz w:val="20"/>
          <w:szCs w:val="20"/>
          <w:i w:val="1"/>
          <w:iCs w:val="1"/>
          <w:color w:val="auto"/>
        </w:rPr>
        <w:t>DMD</w:t>
      </w:r>
      <w:r>
        <w:rPr>
          <w:rFonts w:ascii="Calibri" w:cs="Calibri" w:eastAsia="Calibri" w:hAnsi="Calibri"/>
          <w:sz w:val="20"/>
          <w:szCs w:val="20"/>
          <w:color w:val="auto"/>
        </w:rPr>
        <w:t xml:space="preserve"> gene between exons 1 to 17 and exons 59 to 71. Patents with deletons in these regions may be at risk for a severe immune-mediated myosits reacton.</w:t>
      </w:r>
    </w:p>
    <w:p>
      <w:pPr>
        <w:spacing w:after="0" w:line="23" w:lineRule="exact"/>
        <w:rPr>
          <w:rFonts w:ascii="Times New Roman" w:cs="Times New Roman" w:eastAsia="Times New Roman" w:hAnsi="Times New Roman"/>
          <w:sz w:val="20"/>
          <w:szCs w:val="20"/>
          <w:color w:val="auto"/>
        </w:rPr>
      </w:pPr>
    </w:p>
    <w:p>
      <w:pPr>
        <w:jc w:val="both"/>
        <w:ind w:left="380" w:hanging="372"/>
        <w:spacing w:after="0" w:line="236" w:lineRule="auto"/>
        <w:tabs>
          <w:tab w:leader="none" w:pos="380" w:val="left"/>
        </w:tabs>
        <w:numPr>
          <w:ilvl w:val="0"/>
          <w:numId w:val="6"/>
        </w:numPr>
        <w:rPr>
          <w:rFonts w:ascii="Times New Roman" w:cs="Times New Roman" w:eastAsia="Times New Roman" w:hAnsi="Times New Roman"/>
          <w:sz w:val="20"/>
          <w:szCs w:val="20"/>
          <w:color w:val="auto"/>
        </w:rPr>
      </w:pPr>
      <w:r>
        <w:rPr>
          <w:rFonts w:ascii="Calibri" w:cs="Calibri" w:eastAsia="Calibri" w:hAnsi="Calibri"/>
          <w:sz w:val="20"/>
          <w:szCs w:val="20"/>
          <w:color w:val="auto"/>
        </w:rPr>
        <w:t>Advise patents to contact a physician immediately if they experience any unexplained increased muscle pain, tenderness, or weakness, including dysphagia, dyspnea or hypophonia as these may be symptoms of myosits. Consider additonal immunomodulatory treatment (immunosuppressants [e.g., calcineurin-inhibitor] in additon to cortcosteroids) based on patent’s clinical presentaton and medical history if these symptoms occur.</w:t>
      </w:r>
    </w:p>
    <w:p>
      <w:pPr>
        <w:spacing w:after="0" w:line="39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Myocardits:</w:t>
      </w:r>
    </w:p>
    <w:p>
      <w:pPr>
        <w:spacing w:after="0" w:line="147"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20"/>
          <w:szCs w:val="20"/>
          <w:color w:val="auto"/>
        </w:rPr>
      </w:pPr>
      <w:r>
        <w:rPr>
          <w:rFonts w:ascii="Calibri" w:cs="Calibri" w:eastAsia="Calibri" w:hAnsi="Calibri"/>
          <w:sz w:val="20"/>
          <w:szCs w:val="20"/>
          <w:color w:val="auto"/>
        </w:rPr>
        <w:t>Acute serious myocardits and troponin-I elevatons have been observed following ELEVIDYS infusion in clinical trials.</w:t>
      </w:r>
    </w:p>
    <w:p>
      <w:pPr>
        <w:spacing w:after="0" w:line="22" w:lineRule="exact"/>
        <w:rPr>
          <w:rFonts w:ascii="Times New Roman" w:cs="Times New Roman" w:eastAsia="Times New Roman" w:hAnsi="Times New Roman"/>
          <w:sz w:val="20"/>
          <w:szCs w:val="20"/>
          <w:color w:val="auto"/>
        </w:rPr>
      </w:pPr>
    </w:p>
    <w:p>
      <w:pPr>
        <w:jc w:val="both"/>
        <w:ind w:left="380" w:hanging="372"/>
        <w:spacing w:after="0" w:line="236" w:lineRule="auto"/>
        <w:tabs>
          <w:tab w:leader="none" w:pos="380" w:val="left"/>
        </w:tabs>
        <w:numPr>
          <w:ilvl w:val="0"/>
          <w:numId w:val="7"/>
        </w:numPr>
        <w:rPr>
          <w:rFonts w:ascii="Times New Roman" w:cs="Times New Roman" w:eastAsia="Times New Roman" w:hAnsi="Times New Roman"/>
          <w:sz w:val="20"/>
          <w:szCs w:val="20"/>
          <w:color w:val="auto"/>
        </w:rPr>
      </w:pPr>
      <w:r>
        <w:rPr>
          <w:rFonts w:ascii="Calibri" w:cs="Calibri" w:eastAsia="Calibri" w:hAnsi="Calibri"/>
          <w:sz w:val="20"/>
          <w:szCs w:val="20"/>
          <w:color w:val="auto"/>
        </w:rPr>
        <w:t>Monitor troponin-I before ELEVIDYS infusion and weekly for the frst month following infusion and contnue monitoring if clinically indicated. More frequent monitoring may be warranted in the presence of cardiac symptoms, such as chest pain or shortness of breath.</w:t>
      </w:r>
    </w:p>
    <w:p>
      <w:pPr>
        <w:spacing w:after="0" w:line="12"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20"/>
          <w:szCs w:val="20"/>
          <w:color w:val="auto"/>
        </w:rPr>
      </w:pPr>
      <w:r>
        <w:rPr>
          <w:rFonts w:ascii="Calibri" w:cs="Calibri" w:eastAsia="Calibri" w:hAnsi="Calibri"/>
          <w:sz w:val="20"/>
          <w:szCs w:val="20"/>
          <w:color w:val="auto"/>
        </w:rPr>
        <w:t>Advise patents to contact a physician immediately if they experience cardiac symptoms.</w:t>
      </w:r>
    </w:p>
    <w:p>
      <w:pPr>
        <w:spacing w:after="0" w:line="39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Pre-existng Immunity against AAVrh74:</w:t>
      </w:r>
    </w:p>
    <w:p>
      <w:pPr>
        <w:spacing w:after="0" w:line="171" w:lineRule="exact"/>
        <w:rPr>
          <w:sz w:val="20"/>
          <w:szCs w:val="20"/>
          <w:color w:val="auto"/>
        </w:rPr>
      </w:pPr>
    </w:p>
    <w:p>
      <w:pPr>
        <w:ind w:left="380" w:right="20" w:hanging="372"/>
        <w:spacing w:after="0" w:line="234" w:lineRule="auto"/>
        <w:tabs>
          <w:tab w:leader="none" w:pos="380" w:val="left"/>
        </w:tabs>
        <w:numPr>
          <w:ilvl w:val="0"/>
          <w:numId w:val="8"/>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AAV-vector based gene therapies, preexistng ant-AAV antbodies may impede transgene expression at desired therapeutc levels. Following treatment with ELEVIDYS, all subjects developed ant-AAVrh74 antbodies.</w:t>
      </w:r>
    </w:p>
    <w:p>
      <w:pPr>
        <w:spacing w:after="0" w:line="13"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20"/>
          <w:szCs w:val="20"/>
          <w:color w:val="auto"/>
        </w:rPr>
      </w:pPr>
      <w:r>
        <w:rPr>
          <w:rFonts w:ascii="Calibri" w:cs="Calibri" w:eastAsia="Calibri" w:hAnsi="Calibri"/>
          <w:sz w:val="20"/>
          <w:szCs w:val="20"/>
          <w:color w:val="auto"/>
        </w:rPr>
        <w:t>Perform baseline testng for the presence of ant-AAVrh74 total binding antbodies prior to ELEVIDYS administraton.</w:t>
      </w:r>
    </w:p>
    <w:p>
      <w:pPr>
        <w:spacing w:after="0" w:line="22" w:lineRule="exact"/>
        <w:rPr>
          <w:rFonts w:ascii="Times New Roman" w:cs="Times New Roman" w:eastAsia="Times New Roman" w:hAnsi="Times New Roman"/>
          <w:sz w:val="20"/>
          <w:szCs w:val="20"/>
          <w:color w:val="auto"/>
        </w:rPr>
      </w:pPr>
    </w:p>
    <w:p>
      <w:pPr>
        <w:ind w:left="380" w:hanging="372"/>
        <w:spacing w:after="0" w:line="234" w:lineRule="auto"/>
        <w:tabs>
          <w:tab w:leader="none" w:pos="380" w:val="left"/>
        </w:tabs>
        <w:numPr>
          <w:ilvl w:val="0"/>
          <w:numId w:val="8"/>
        </w:numPr>
        <w:rPr>
          <w:rFonts w:ascii="Times New Roman" w:cs="Times New Roman" w:eastAsia="Times New Roman" w:hAnsi="Times New Roman"/>
          <w:sz w:val="20"/>
          <w:szCs w:val="20"/>
          <w:color w:val="auto"/>
        </w:rPr>
      </w:pPr>
      <w:r>
        <w:rPr>
          <w:rFonts w:ascii="Calibri" w:cs="Calibri" w:eastAsia="Calibri" w:hAnsi="Calibri"/>
          <w:sz w:val="20"/>
          <w:szCs w:val="20"/>
          <w:color w:val="auto"/>
        </w:rPr>
        <w:t>ELEVIDYS administraton is not recommended in patents with elevated ant-AAVrh74 total binding antbody tters greater than or equal to 1:400.</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Adverse Reactons:</w:t>
      </w:r>
    </w:p>
    <w:p>
      <w:pPr>
        <w:spacing w:after="0" w:line="157" w:lineRule="exact"/>
        <w:rPr>
          <w:sz w:val="20"/>
          <w:szCs w:val="20"/>
          <w:color w:val="auto"/>
        </w:rPr>
      </w:pPr>
    </w:p>
    <w:p>
      <w:pPr>
        <w:ind w:left="380" w:hanging="372"/>
        <w:spacing w:after="0" w:line="234" w:lineRule="auto"/>
        <w:tabs>
          <w:tab w:leader="none" w:pos="380" w:val="left"/>
        </w:tabs>
        <w:numPr>
          <w:ilvl w:val="0"/>
          <w:numId w:val="9"/>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most common adverse reactons (incidence ≥ 5%) reported in clinical studies were vomitng, nausea, liver functon test increased, pyrexia, and thrombocytopenia.</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For further informaton, please see the full Prescribing Informaton.</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172A84"/>
        </w:rPr>
        <w:t>About EXONDYS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6" w:name="page7"/>
    <w:bookmarkEnd w:id="6"/>
    <w:p>
      <w:pPr>
        <w:jc w:val="both"/>
        <w:spacing w:after="0" w:line="236" w:lineRule="auto"/>
        <w:rPr>
          <w:sz w:val="20"/>
          <w:szCs w:val="20"/>
          <w:color w:val="auto"/>
        </w:rPr>
      </w:pPr>
      <w:r>
        <w:rPr>
          <w:rFonts w:ascii="Calibri" w:cs="Calibri" w:eastAsia="Calibri" w:hAnsi="Calibri"/>
          <w:sz w:val="20"/>
          <w:szCs w:val="20"/>
          <w:color w:val="auto"/>
        </w:rPr>
        <w:t>EXONDYS 51 (eteplirsen) uses Sarepta’s proprietary phosphorodiamidate morpholino oligomer (PMO) chemistry and exon-skipping technology to bind to exon 51 of dystrophin pre-mRNA, resultng in exclusion, or “skipping”, of this exon during mRNA processing in patents with genetc mutatons that are amenable to exon 51 skipping. Exon skipping is intended to allow for producton of an internally truncated dystrophin protein.</w:t>
      </w:r>
    </w:p>
    <w:p>
      <w:pPr>
        <w:spacing w:after="0" w:line="255"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EXONDYS 51 is indicated for the treatment of Duchenne muscular dystrophy in patents who have a confrmed mutaton of the dystrophin gene that is amenable to exon 51 skipping.</w:t>
      </w:r>
    </w:p>
    <w:p>
      <w:pPr>
        <w:spacing w:after="0" w:line="253"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This indicaton is approved under accelerated approval based on an increase in dystrophin producton in skeletal muscle observed in some patents treated with EXONDYS 51. Contnued approval may be contngent upon verifcaton of a clinical beneft in confrmatory trials.</w:t>
      </w:r>
    </w:p>
    <w:p>
      <w:pPr>
        <w:spacing w:after="0" w:line="200" w:lineRule="exact"/>
        <w:rPr>
          <w:sz w:val="20"/>
          <w:szCs w:val="20"/>
          <w:color w:val="auto"/>
        </w:rPr>
      </w:pPr>
    </w:p>
    <w:p>
      <w:pPr>
        <w:spacing w:after="0" w:line="284"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EXONDYS 51 has met the full statutory standards for safety and efectveness and as such is not considered investgatonal or experimental.</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172A84"/>
        </w:rPr>
        <w:t>Important Safety Informaton About EXONDYS 51</w:t>
      </w:r>
    </w:p>
    <w:p>
      <w:pPr>
        <w:spacing w:after="0" w:line="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Hypersensitvity reactons, bronchospasm, chest pain, cough, tachycardia, and urtcaria have occurred in patents who were treated with EXONDYS 51. If a hypersensitvity reacton occurs, insttute appropriate medical treatment and consider slowing the infusion or interruptng the EXONDYS 51 therapy.</w:t>
      </w:r>
    </w:p>
    <w:p>
      <w:pPr>
        <w:spacing w:after="0" w:line="252"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Adverse reactons in Duchenne patents (N=8) treated with EXONDYS 51 30 mg or 50 mg/kg/week by intravenous (IV) infusion with an incidence of at least 25% more than placebo (N=4) (Study 1, 24 weeks) were (EXONDYS 51, placebo): balance disorder (38%, 0%), vomitng (38%, 0%) and contact dermatts (25%, 0%). The most common adverse reactons were balance disorder and vomitng. Because of the small numbers of patents, these represent crude frequencies that may not refect the frequencies observed in practce. The 50 mg/kg once weekly dosing regimen of EXONDYS 51 is not recommended.</w:t>
      </w:r>
    </w:p>
    <w:p>
      <w:pPr>
        <w:spacing w:after="0" w:line="253"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following adverse reactons have been identfed during observatonal studies that were conducted as part of the clinical development program and contnued post approval.</w:t>
      </w:r>
    </w:p>
    <w:p>
      <w:pPr>
        <w:spacing w:after="0" w:line="25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In open-label observatonal studies, 163 patents received at least one intravenous dose of EXONDYS 51, with doses ranging between 0.5 mg/kg (0.017 tmes the recommended dosage) and 50 mg/kg (1.7 tmes the recommended dosage). All patents were male and had genetcally confrmed Duchenne muscular dystrophy. Age at study entry was 6 months to 19 years. Most (85%) patents were Caucasian.t</w:t>
      </w:r>
    </w:p>
    <w:p>
      <w:pPr>
        <w:spacing w:after="0" w:line="252"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The most common adverse reactons from observatonal clinical studies (N=163) seen in greater than 10% of the study populaton were headache, cough, rash, and vomitng.</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For further informaton, please see the full Prescribing Informaton.</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172A84"/>
        </w:rPr>
        <w:t>About VYONDYS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7" w:name="page8"/>
    <w:bookmarkEnd w:id="7"/>
    <w:p>
      <w:pPr>
        <w:jc w:val="both"/>
        <w:spacing w:after="0" w:line="236" w:lineRule="auto"/>
        <w:rPr>
          <w:sz w:val="20"/>
          <w:szCs w:val="20"/>
          <w:color w:val="auto"/>
        </w:rPr>
      </w:pPr>
      <w:r>
        <w:rPr>
          <w:rFonts w:ascii="Calibri" w:cs="Calibri" w:eastAsia="Calibri" w:hAnsi="Calibri"/>
          <w:sz w:val="20"/>
          <w:szCs w:val="20"/>
          <w:color w:val="auto"/>
        </w:rPr>
        <w:t>VYONDYS 53 (golodirsen) uses Sarepta’s proprietary phosphorodiamidate morpholino oligomer (PMO) chemistry and exon-skipping technology to bind to exon 53 of dystrophin pre-mRNA, resultng in exclusion, or “skipping,” of this exon during mRNA processing in patents with genetc mutatons that are amenable to exon 53 skipping. Exon skipping is intended to allow for producton of an internally truncated dystrophin protein.</w:t>
      </w:r>
    </w:p>
    <w:p>
      <w:pPr>
        <w:spacing w:after="0" w:line="255"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VYONDYS 53 is indicated for the treatment of Duchenne muscular dystrophy in patents who have a confrmed mutaton of the dystrophin gene that is amenable to exon 53 skipping.</w:t>
      </w:r>
    </w:p>
    <w:p>
      <w:pPr>
        <w:spacing w:after="0" w:line="253"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This indicaton is approved under accelerated approval based on an increase in dystrophin producton in skeletal muscle observed in patents treated with VYONDYS 53. Contnued approval may be contngent upon verifcaton of a clinical beneft in confrmatory trials.</w:t>
      </w:r>
    </w:p>
    <w:p>
      <w:pPr>
        <w:spacing w:after="0" w:line="253"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VYONDYS 53 has met the full statutory standards for safety and efectveness and as such is not considered investgatonal or experimental.</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172A84"/>
        </w:rPr>
        <w:t>Important Safety Informaton for VYONDYS 53</w:t>
      </w:r>
    </w:p>
    <w:p>
      <w:pPr>
        <w:spacing w:after="0" w:line="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Hypersensitvity reactons, including rash, pyrexia, pruritus, urtcaria, dermatts, and skin exfoliaton have occurred in VYONDYS 53-treated patents, some requiring treatment. If a hypersensitvity reacton occurs, insttute appropriate medical treatment and consider slowing the infusion or interruptng the VYONDYS 53 therapy.</w:t>
      </w:r>
    </w:p>
    <w:p>
      <w:pPr>
        <w:spacing w:after="0" w:line="252" w:lineRule="exact"/>
        <w:rPr>
          <w:sz w:val="20"/>
          <w:szCs w:val="20"/>
          <w:color w:val="auto"/>
        </w:rPr>
      </w:pPr>
    </w:p>
    <w:p>
      <w:pPr>
        <w:jc w:val="both"/>
        <w:spacing w:after="0" w:line="238" w:lineRule="auto"/>
        <w:rPr>
          <w:sz w:val="20"/>
          <w:szCs w:val="20"/>
          <w:color w:val="auto"/>
        </w:rPr>
      </w:pPr>
      <w:r>
        <w:rPr>
          <w:rFonts w:ascii="Calibri" w:cs="Calibri" w:eastAsia="Calibri" w:hAnsi="Calibri"/>
          <w:sz w:val="20"/>
          <w:szCs w:val="20"/>
          <w:color w:val="auto"/>
        </w:rPr>
        <w:t>Kidney toxicity was observed in animals who received golodirsen. Although kidney toxicity was not observed in the clinical studies with VYONDYS 53, the clinical experience with VYONDYS 53 is limited, and kidney toxicity, including potentally fatal glomerulonephrits, has been observed afer administraton of some antsense oligonucleotdes. Kidney functon should be monitored in patents taking VYONDYS 53. Because of the efect of reduced skeletal muscle mass on creatnine measurements, creatnine may not be a reliable measure of kidney functon in DMD patents. Serum cystatn C, urine dipstck, and urine protein-to-creatnine rato should be measured before startng VYONDYS 53. Consider also measuring glomerular fltraton rate using an exogenous fltraton marker before startng VYONDYS 53. During treatment, monitor urine dipstck every month, and serum cystatn C and urine protein-to-creatnine rato every three months. Only urine expected to be free of excreted VYONDYS 53 should be used for monitoring of urine protein. Urine obtained on the day of VYONDYS 53 infusion prior to the infusion, or urine obtained at least 48 hours afer the most recent infusion, may be used. Alternatvely, use a laboratory test that does not use the reagent pyrogallol red, as this reagent has the potental to cross react with any VYONDYS 53 that is excreted in the urine and thus lead to a false positve result for urine protein.</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If a persistent increase in serum cystatn C or proteinuria is detected, refer to a pediatric nephrologist for further evaluaton.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8" w:name="page9"/>
    <w:bookmarkEnd w:id="8"/>
    <w:p>
      <w:pPr>
        <w:spacing w:after="0"/>
        <w:rPr>
          <w:sz w:val="20"/>
          <w:szCs w:val="20"/>
          <w:color w:val="auto"/>
        </w:rPr>
      </w:pPr>
      <w:r>
        <w:rPr>
          <w:rFonts w:ascii="Calibri" w:cs="Calibri" w:eastAsia="Calibri" w:hAnsi="Calibri"/>
          <w:sz w:val="20"/>
          <w:szCs w:val="20"/>
          <w:color w:val="auto"/>
        </w:rPr>
        <w:t>Adverse reactons observed in at least 20% of treated patents and greater than placebo were (VYONDYS 53, placebo): headache (41%,</w:t>
      </w:r>
    </w:p>
    <w:p>
      <w:pPr>
        <w:spacing w:after="0" w:line="238" w:lineRule="auto"/>
        <w:rPr>
          <w:sz w:val="20"/>
          <w:szCs w:val="20"/>
          <w:color w:val="auto"/>
        </w:rPr>
      </w:pPr>
      <w:r>
        <w:rPr>
          <w:rFonts w:ascii="Calibri" w:cs="Calibri" w:eastAsia="Calibri" w:hAnsi="Calibri"/>
          <w:sz w:val="20"/>
          <w:szCs w:val="20"/>
          <w:color w:val="auto"/>
        </w:rPr>
        <w:t>10%), pyrexia (41%, 14%), fall (29%, 19%), abdominal pain (27%, 10%), nasopharyngits (27%, 14%), cough (27%, 19%), vomitng (27%,</w:t>
      </w:r>
    </w:p>
    <w:p>
      <w:pPr>
        <w:spacing w:after="0"/>
        <w:rPr>
          <w:sz w:val="20"/>
          <w:szCs w:val="20"/>
          <w:color w:val="auto"/>
        </w:rPr>
      </w:pPr>
      <w:r>
        <w:rPr>
          <w:rFonts w:ascii="Calibri" w:cs="Calibri" w:eastAsia="Calibri" w:hAnsi="Calibri"/>
          <w:sz w:val="20"/>
          <w:szCs w:val="20"/>
          <w:color w:val="auto"/>
        </w:rPr>
        <w:t>19%), and nausea (20%, 10%).</w:t>
      </w:r>
    </w:p>
    <w:p>
      <w:pPr>
        <w:spacing w:after="0" w:line="25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Other adverse reactons that occurred at a frequency greater than 5% of VYONDYS 53-treated patents and at a greater frequency than placebo were: administraton site pain, back pain, pain, diarrhea, dizziness, ligament sprain, contusion, infuenza, oropharyngeal pain, rhinits, skin abrasion, ear infecton, seasonal allergy, tachycardia, catheter site related reacton, constpaton, and fracture.</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For further informaton, please see the full Prescribing Informaton.</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172A84"/>
        </w:rPr>
        <w:t>About AMONDYS 45</w:t>
      </w:r>
    </w:p>
    <w:p>
      <w:pPr>
        <w:spacing w:after="0" w:line="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AMONDYS 45 (casimersen) uses Sarepta’s proprietary phosphorodiamidate morpholino oligomer (PMO) chemistry and exon-skipping technology to bind to exon 45 of dystrophin pre-mRNA, resultng in exclusion, or “skipping,” of this exon during mRNA processing in patents with genetc mutatons that are amenable to exon 45 skipping. Exon skipping is intended to allow for producton of an internally truncated dystrophin protein.</w:t>
      </w:r>
    </w:p>
    <w:p>
      <w:pPr>
        <w:spacing w:after="0" w:line="255"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AMONDYS 45 is indicated for the treatment of Duchenne muscular dystrophy in patents who have a confrmed mutaton of the dystrophin gene that is amenable to exon 45 skipping.</w:t>
      </w:r>
    </w:p>
    <w:p>
      <w:pPr>
        <w:spacing w:after="0" w:line="253"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This indicaton is approved under accelerated approval based on an increase in dystrophin producton in skeletal muscle observed in patents treated with AMONDYS 45. Contnued approval may be contngent upon verifcaton of a clinical beneft in confrmatory trials.</w:t>
      </w:r>
    </w:p>
    <w:p>
      <w:pPr>
        <w:spacing w:after="0" w:line="253"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AMONDYS 45 has met the full statutory standards for safety and efectveness and as such is not considered investgatonal or experimental.</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172A84"/>
        </w:rPr>
        <w:t>Important Safety Informaton for AMONDYS 45</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CONTRAINDICATION</w:t>
      </w:r>
      <w:r>
        <w:rPr>
          <w:rFonts w:ascii="Calibri" w:cs="Calibri" w:eastAsia="Calibri" w:hAnsi="Calibri"/>
          <w:sz w:val="20"/>
          <w:szCs w:val="20"/>
          <w:color w:val="auto"/>
        </w:rPr>
        <w:t>:</w:t>
      </w:r>
    </w:p>
    <w:p>
      <w:pPr>
        <w:spacing w:after="0" w:line="9"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Known hypersensitvity to casimersen or any of the inactve ingredients. Instances of hypersensitvity including angioedema and anaphylaxis have occurred.</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WARNINGS AND PRECAUTIONS</w:t>
      </w:r>
    </w:p>
    <w:p>
      <w:pPr>
        <w:spacing w:after="0" w:line="25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 xml:space="preserve">Hypersensitvity: </w:t>
      </w:r>
      <w:r>
        <w:rPr>
          <w:rFonts w:ascii="Calibri" w:cs="Calibri" w:eastAsia="Calibri" w:hAnsi="Calibri"/>
          <w:sz w:val="20"/>
          <w:szCs w:val="20"/>
          <w:color w:val="auto"/>
        </w:rPr>
        <w:t>Hypersensitvity reactons, including angioedema and anaphylaxis, have occurred in patents who were treated with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AMONDYS 45. If a hypersensitvity reacton occurs, insttute appropriate medical treatment, and consider slowing the infusion, interruptng, or discontnuing the AMONDYS 45 infusion and monitor untl the conditon resolves.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Kidney Toxicity</w:t>
      </w:r>
      <w:r>
        <w:rPr>
          <w:rFonts w:ascii="Calibri" w:cs="Calibri" w:eastAsia="Calibri" w:hAnsi="Calibri"/>
          <w:sz w:val="20"/>
          <w:szCs w:val="20"/>
          <w:color w:val="auto"/>
        </w:rPr>
        <w:t>: Kidney toxicity was observed in animals who received casimersen. Although kidney toxicity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9" w:name="page10"/>
    <w:bookmarkEnd w:id="9"/>
    <w:p>
      <w:pPr>
        <w:jc w:val="both"/>
        <w:spacing w:after="0" w:line="236" w:lineRule="auto"/>
        <w:rPr>
          <w:sz w:val="20"/>
          <w:szCs w:val="20"/>
          <w:color w:val="auto"/>
        </w:rPr>
      </w:pPr>
      <w:r>
        <w:rPr>
          <w:rFonts w:ascii="Calibri" w:cs="Calibri" w:eastAsia="Calibri" w:hAnsi="Calibri"/>
          <w:sz w:val="20"/>
          <w:szCs w:val="20"/>
          <w:color w:val="auto"/>
        </w:rPr>
        <w:t>not observed in the clinical studies with AMONDYS 45, kidney toxicity, including potentally fatal glomerulonephrits, has been observed afer administraton of some antsense oligonucleotdes. Kidney functon should be monitored in patents taking AMONDYS 45. Because of the efect of reduced skeletal muscle mass on creatnine measurements, creatnine may not be a reliable measure of kidney functon in DMD patents. Serum cystatn C, urine dipstck, and urine protein-to-creatnine rato should be measured before startng AMONDYS</w:t>
      </w:r>
    </w:p>
    <w:p>
      <w:pPr>
        <w:spacing w:after="0" w:line="12" w:lineRule="exact"/>
        <w:rPr>
          <w:sz w:val="20"/>
          <w:szCs w:val="20"/>
          <w:color w:val="auto"/>
        </w:rPr>
      </w:pPr>
    </w:p>
    <w:p>
      <w:pPr>
        <w:jc w:val="both"/>
        <w:ind w:firstLine="8"/>
        <w:spacing w:after="0" w:line="237" w:lineRule="auto"/>
        <w:tabs>
          <w:tab w:leader="none" w:pos="348" w:val="left"/>
        </w:tabs>
        <w:numPr>
          <w:ilvl w:val="0"/>
          <w:numId w:val="10"/>
        </w:numPr>
        <w:rPr>
          <w:rFonts w:ascii="Calibri" w:cs="Calibri" w:eastAsia="Calibri" w:hAnsi="Calibri"/>
          <w:sz w:val="20"/>
          <w:szCs w:val="20"/>
          <w:color w:val="auto"/>
        </w:rPr>
      </w:pPr>
      <w:r>
        <w:rPr>
          <w:rFonts w:ascii="Calibri" w:cs="Calibri" w:eastAsia="Calibri" w:hAnsi="Calibri"/>
          <w:sz w:val="20"/>
          <w:szCs w:val="20"/>
          <w:color w:val="auto"/>
        </w:rPr>
        <w:t>Consider also measuring glomerular fltraton rate using an exogenous fltraton marker before startng AMONDYS 45. During treatment, monitor urine dipstck every month, and serum cystatn C and urine protein-to-creatnine rato (UPCR) every three months. Only urine expected to be free of excreted AMONDYS 45 should be used for monitoring of urine protein. Urine obtained on the day of AMONDYS 45 infusion prior to the infusion, or urine obtained at least 48 hours afer the most recent infusion, may be used. Alternatvely, use a laboratory test that does not use the reagent pyrogallol red, as this reagent has the potental to cross react with any AMONDYS 45 that is excreted in the urine and thus lead to a false positve result for urine protein.</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color w:val="auto"/>
        </w:rPr>
        <w:t>If a persistent increase in serum cystatn C or proteinuria is detected, refer to a pediatric nephrologist for further evaluaton.</w:t>
      </w:r>
    </w:p>
    <w:p>
      <w:pPr>
        <w:spacing w:after="0" w:line="252"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 xml:space="preserve">Adverse Reactons: </w:t>
      </w:r>
      <w:r>
        <w:rPr>
          <w:rFonts w:ascii="Calibri" w:cs="Calibri" w:eastAsia="Calibri" w:hAnsi="Calibri"/>
          <w:sz w:val="20"/>
          <w:szCs w:val="20"/>
          <w:color w:val="auto"/>
        </w:rPr>
        <w:t>Adverse reactons occurring in at least 20% of patents treated with AMONDYS 45 and at least 5% more frequently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than in the placebo group were (AMONDYS 45, placebo): upper respiratory infectons (65%, 55%), cough (33%, 26%), pyrexia (33%, 23%), headache (32%, 19%), arthralgia (21%, 10%), and oropharyngeal pain (21%, 7%).</w:t>
      </w:r>
    </w:p>
    <w:p>
      <w:pPr>
        <w:spacing w:after="0" w:line="252"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Other adverse reactons that occurred in at least 10% of patents treated with AMONDYS 45 and at least 5% more frequently than in the placebo group were: ear pain, nausea, ear infecton, post-traumatc pain, and dizziness and light-headedness.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172A84"/>
        </w:rPr>
        <w:t>About Sarepta Therapeutcs</w:t>
      </w:r>
    </w:p>
    <w:p>
      <w:pPr>
        <w:spacing w:after="0" w:line="9"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Sarepta is on an urgent mission: engineer precision genetc medicine for rare diseases that devastate lives and cut futures short. We hold leadership positons in Duchenne muscular dystrophy (DMD) and limb-girdle muscular dystrophies (LGMDs), and we currently have more than 40 programs in various stages of development. Our vast pipeline is driven by our mult-platorm Precision Genetc Medicine Engine in gene therapy, RNA and gene editng. For more informaton, please visit www.sarepta.com or follow us on Twiter, LinkedIn, Instagram and Facebook.</w:t>
      </w:r>
    </w:p>
    <w:p>
      <w:pPr>
        <w:spacing w:after="0" w:line="27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172A84"/>
        </w:rPr>
        <w:t>Internet Postng of Informaton</w:t>
      </w:r>
    </w:p>
    <w:p>
      <w:pPr>
        <w:spacing w:after="0" w:line="9"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i w:val="1"/>
          <w:iCs w:val="1"/>
          <w:color w:val="auto"/>
        </w:rPr>
        <w:t>We routnely post informaton that may be important to investors in the 'For Investors' secton of our website at www.sarepta.com. We encourage investors and potental investors to consult our website regularly for important informaton about us.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172A84"/>
        </w:rPr>
        <w:t>Forward-Looking Statements</w:t>
      </w:r>
    </w:p>
    <w:p>
      <w:pPr>
        <w:spacing w:after="0" w:line="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i w:val="1"/>
          <w:iCs w:val="1"/>
          <w:color w:val="auto"/>
        </w:rPr>
        <w:t>This press release contains “forward-looking statements.” Any statements that are not statements of historical fact may be deemed to be forward-looking statements. Words such as “believe,” “antcipate,” “plan,” “expect,” “will,” “may,” “intend,” “prepare,” “look,” “potental,” “possible” and similar expressions are intended to identfy forward-looking statements. These forward-looking statements include statements relatng to our expected fnancial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10" w:name="page11"/>
    <w:bookmarkEnd w:id="10"/>
    <w:p>
      <w:pPr>
        <w:jc w:val="both"/>
        <w:spacing w:after="0" w:line="237" w:lineRule="auto"/>
        <w:rPr>
          <w:sz w:val="20"/>
          <w:szCs w:val="20"/>
          <w:color w:val="auto"/>
        </w:rPr>
      </w:pPr>
      <w:r>
        <w:rPr>
          <w:rFonts w:ascii="Calibri" w:cs="Calibri" w:eastAsia="Calibri" w:hAnsi="Calibri"/>
          <w:sz w:val="20"/>
          <w:szCs w:val="20"/>
          <w:i w:val="1"/>
          <w:iCs w:val="1"/>
          <w:color w:val="auto"/>
        </w:rPr>
        <w:t>These forward-looking statements involve risks and uncertaintes, many of which are beyond Sarepta’s control. Actual results could materially difer from those stated or implied by these forward-looking statements as a result of such risks and uncertaintes. Known risk factors include the following: the estmates and judgments we make, or the assumptons on which we rely, in preparing our consolidated fnancial statements could prove inaccurate; our revenues and operatng results could fuctuate signifcantly, which may adversely afect our stock price; and those risks identfed under the heading “Risk Factors” in our Quarterly Report on Form 10-Q for the quarter ended September 30, 2023 as well as other SEC flings made by the Company which you are encouraged to review.</w:t>
      </w:r>
    </w:p>
    <w:p>
      <w:pPr>
        <w:spacing w:after="0" w:line="25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i w:val="1"/>
          <w:iCs w:val="1"/>
          <w:color w:val="auto"/>
        </w:rPr>
        <w:t>Any of the foregoing risks could materially and adversely afect the Company’s business, results of operatons and the trading price of Sarepta’s common stock. For a detailed descripton of risks and uncertaintes Sarepta faces, you are encouraged to review the SEC flings made by Sarepta. We cauton investors not to place considerable reliance on the forward-looking statements contained in this press release. Sarepta does not undertake any obligaton to publicly update its forward-looking statements based on events or circumstances afer the date hereof, except as required by law.</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Source: Sarepta Therapeutcs, Inc.</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172A84"/>
        </w:rPr>
        <w:t>Investor Contact:</w:t>
      </w:r>
    </w:p>
    <w:p>
      <w:pPr>
        <w:spacing w:after="0" w:line="238" w:lineRule="auto"/>
        <w:rPr>
          <w:sz w:val="20"/>
          <w:szCs w:val="20"/>
          <w:color w:val="auto"/>
        </w:rPr>
      </w:pPr>
      <w:r>
        <w:rPr>
          <w:rFonts w:ascii="Calibri" w:cs="Calibri" w:eastAsia="Calibri" w:hAnsi="Calibri"/>
          <w:sz w:val="20"/>
          <w:szCs w:val="20"/>
          <w:color w:val="auto"/>
        </w:rPr>
        <w:t>Ian Estepan, 617-274-4052</w:t>
      </w:r>
    </w:p>
    <w:p>
      <w:pPr>
        <w:spacing w:after="0"/>
        <w:rPr>
          <w:sz w:val="20"/>
          <w:szCs w:val="20"/>
          <w:color w:val="auto"/>
        </w:rPr>
      </w:pPr>
      <w:r>
        <w:rPr>
          <w:rFonts w:ascii="Calibri" w:cs="Calibri" w:eastAsia="Calibri" w:hAnsi="Calibri"/>
          <w:sz w:val="20"/>
          <w:szCs w:val="20"/>
          <w:color w:val="auto"/>
        </w:rPr>
        <w:t>iestepan@sarepta.com</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172A84"/>
        </w:rPr>
        <w:t>Media Contact:</w:t>
      </w:r>
    </w:p>
    <w:p>
      <w:pPr>
        <w:spacing w:after="0" w:line="238" w:lineRule="auto"/>
        <w:rPr>
          <w:sz w:val="20"/>
          <w:szCs w:val="20"/>
          <w:color w:val="auto"/>
        </w:rPr>
      </w:pPr>
      <w:r>
        <w:rPr>
          <w:rFonts w:ascii="Calibri" w:cs="Calibri" w:eastAsia="Calibri" w:hAnsi="Calibri"/>
          <w:sz w:val="20"/>
          <w:szCs w:val="20"/>
          <w:color w:val="auto"/>
        </w:rPr>
        <w:t>Tracy Sorrentno, 617-301-8566</w:t>
      </w:r>
    </w:p>
    <w:p>
      <w:pPr>
        <w:spacing w:after="0"/>
        <w:rPr>
          <w:sz w:val="20"/>
          <w:szCs w:val="20"/>
          <w:color w:val="auto"/>
        </w:rPr>
      </w:pPr>
      <w:r>
        <w:rPr>
          <w:rFonts w:ascii="Calibri" w:cs="Calibri" w:eastAsia="Calibri" w:hAnsi="Calibri"/>
          <w:sz w:val="20"/>
          <w:szCs w:val="20"/>
          <w:color w:val="auto"/>
        </w:rPr>
        <w:t>tsorrentno@sarepta.com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endash "/>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4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2024-01-08T11:18:08Z</dcterms:created>
  <dcterms:modified xsi:type="dcterms:W3CDTF">2024-01-08T11:18:08Z</dcterms:modified>
</cp:coreProperties>
</file>