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Estepan Ian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Sarepta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24,799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177,184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withheld by the Company to satisfy tax withholding obligations related to vesting of restricted stock units granted on September 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Cristin L. Rothfuss, as Attorney-in-Fact for Ian Michael Estepan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6254" TargetMode="External"/><Relationship Id="rId5" Type="http://schemas.openxmlformats.org/officeDocument/2006/relationships/hyperlink" Target="http://www.sec.gov/cgi-bin/browse-edgar?action=getcompany&amp;CIK=0000873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3245</Characters>
  <CharactersWithSpaces>3771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