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4,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230505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SAREPTA THERAPEUTICS,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223520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93-0797222</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215 First Street, Suite 415</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Massachusetts 02142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Sarepta Therapeutics, Inc. 2026 Equity Incentive Plan</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Sarepta Therapeutics, Inc. 2026 Employee Stock Purchase Plan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Douglas S. Ingram</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215 First Street, Suite 415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Massachusetts 02142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274-4000</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Paul M. Kinsella</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William J. Michener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Prudential Tower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 Boylston Street</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02119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177165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INTRODUCTION</w:t>
      </w:r>
    </w:p>
    <w:p>
      <w:pPr>
        <w:spacing w:after="0" w:line="22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This Registration Statement is being filed to register: (a) 6,286,841 shares of the Registrant’s common stock, par value $0.0001 per share (“Common Stock”), available for issuance under the Sarepta Therapeutics, Inc. 2026 Equity Incentive Plan (the “2026 Plan”) and (b) 1,500,000 shares of Common Stock available for issuance under the Sarepta Therapeutics, Inc. 2026 Employee Stock Purchase Plan (the “2026 ESPP”). The 2026 Plan and 2026 ESPP were adopted by the Registrant’s Board of Directors on April 22, 2026 and were approved by the Registrant’s stockholders on June 4, 2026.</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2"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The information called for in Part I of Form S-8 is not being filed with or included in this Form S-8 (by incorporation by reference or otherwise) in accordance with the rules and regulations of the Securities and Exchange Commission (the “Commission”).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information incorporated by reference herein is considered to be part of this Registration Statement, and later information filed with the Commission will update and supersede this information. The following documents filed by the Registrant with the Commission are incorporated herein by reference:</w:t>
      </w:r>
    </w:p>
    <w:p>
      <w:pPr>
        <w:spacing w:after="0" w:line="84" w:lineRule="exact"/>
        <w:rPr>
          <w:sz w:val="20"/>
          <w:szCs w:val="20"/>
          <w:color w:val="auto"/>
        </w:rPr>
      </w:pPr>
    </w:p>
    <w:p>
      <w:pPr>
        <w:jc w:val="both"/>
        <w:ind w:left="960" w:hanging="539"/>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filed on March 2, 2026, including information specifically incorporated by reference into the Form 10-K from the Registrant’s </w:t>
      </w:r>
      <w:hyperlink r:id="rId18">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its 2026 Annual Meeting of Stockholders, filed by the Registrant with the Commission on April 24, 2026;</w:t>
      </w:r>
    </w:p>
    <w:p>
      <w:pPr>
        <w:spacing w:after="0" w:line="83" w:lineRule="exact"/>
        <w:rPr>
          <w:rFonts w:ascii="Times New Roman" w:cs="Times New Roman" w:eastAsia="Times New Roman" w:hAnsi="Times New Roman"/>
          <w:sz w:val="18"/>
          <w:szCs w:val="18"/>
          <w:color w:val="auto"/>
        </w:rPr>
      </w:pPr>
    </w:p>
    <w:p>
      <w:pPr>
        <w:ind w:left="960" w:right="840" w:hanging="539"/>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by the Registrant with the Commission on May 6, 2026;</w:t>
      </w:r>
    </w:p>
    <w:p>
      <w:pPr>
        <w:spacing w:after="0" w:line="69"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by the Registrant with the Commission on </w:t>
      </w:r>
      <w:hyperlink r:id="rId20">
        <w:r>
          <w:rPr>
            <w:rFonts w:ascii="Times New Roman" w:cs="Times New Roman" w:eastAsia="Times New Roman" w:hAnsi="Times New Roman"/>
            <w:sz w:val="18"/>
            <w:szCs w:val="18"/>
            <w:u w:val="single" w:color="auto"/>
            <w:color w:val="0000EE"/>
          </w:rPr>
          <w:t>February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June 4, 2026</w:t>
        </w:r>
      </w:hyperlink>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jc w:val="both"/>
        <w:ind w:left="960" w:right="180" w:hanging="539"/>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Annual Report on Form </w:t>
      </w:r>
      <w:hyperlink r:id="rId22">
        <w:r>
          <w:rPr>
            <w:rFonts w:ascii="Times New Roman" w:cs="Times New Roman" w:eastAsia="Times New Roman" w:hAnsi="Times New Roman"/>
            <w:sz w:val="18"/>
            <w:szCs w:val="18"/>
            <w:u w:val="single" w:color="auto"/>
            <w:color w:val="0000EE"/>
          </w:rPr>
          <w:t>8-K12B</w:t>
        </w:r>
      </w:hyperlink>
      <w:r>
        <w:rPr>
          <w:rFonts w:ascii="Times New Roman" w:cs="Times New Roman" w:eastAsia="Times New Roman" w:hAnsi="Times New Roman"/>
          <w:sz w:val="18"/>
          <w:szCs w:val="18"/>
          <w:color w:val="auto"/>
        </w:rPr>
        <w:t xml:space="preserve">, filed by the Registrant with the Commission on June 6, 2013, as the description therein has been updated and superseded by the description of our capital stock contained in Exhibit 4.4 to our Annual Report on </w:t>
      </w:r>
      <w:hyperlink r:id="rId2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as filed with the Commission on February 26, 2020, and including any amendments or reports filed for the purpose of updating such description.</w:t>
      </w:r>
    </w:p>
    <w:p>
      <w:pPr>
        <w:spacing w:after="0" w:line="182" w:lineRule="exact"/>
        <w:rPr>
          <w:rFonts w:ascii="Times New Roman" w:cs="Times New Roman" w:eastAsia="Times New Roman" w:hAnsi="Times New Roman"/>
          <w:sz w:val="18"/>
          <w:szCs w:val="18"/>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of 1934, as amended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Items 2.02 or 7.01 of Form 8-K, that is not deemed filed with the Commission.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880"/>
          </w:cols>
          <w:pgMar w:left="500" w:top="264" w:right="519" w:bottom="1440" w:gutter="0" w:footer="0" w:header="0"/>
        </w:sectPr>
      </w:pPr>
    </w:p>
    <w:bookmarkStart w:id="2" w:name="page3"/>
    <w:bookmarkEnd w:id="2"/>
    <w:p>
      <w:pPr>
        <w:ind w:right="30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 no circumstances will any information filed under current Items 2.02 or 7.01 of Form 8-K be deemed incorporated herein by reference unless such Form 8-K expressly provides to the contrary.</w:t>
      </w:r>
    </w:p>
    <w:p>
      <w:pPr>
        <w:sectPr>
          <w:pgSz w:w="11900" w:h="16838" w:orient="portrait"/>
          <w:cols w:equalWidth="0" w:num="1">
            <w:col w:w="10840"/>
          </w:cols>
          <w:pgMar w:left="500" w:top="268" w:right="55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129" w:lineRule="exact"/>
        <w:rPr>
          <w:sz w:val="20"/>
          <w:szCs w:val="20"/>
          <w:color w:val="auto"/>
        </w:rPr>
      </w:pPr>
    </w:p>
    <w:p>
      <w:pPr>
        <w:sectPr>
          <w:pgSz w:w="11900" w:h="16838" w:orient="portrait"/>
          <w:cols w:equalWidth="0" w:num="2">
            <w:col w:w="520" w:space="560"/>
            <w:col w:w="9760"/>
          </w:cols>
          <w:pgMar w:left="500" w:top="268"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40"/>
          </w:cols>
          <w:pgMar w:left="500" w:top="268" w:right="55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129" w:lineRule="exact"/>
        <w:rPr>
          <w:sz w:val="20"/>
          <w:szCs w:val="20"/>
          <w:color w:val="auto"/>
        </w:rPr>
      </w:pPr>
    </w:p>
    <w:p>
      <w:pPr>
        <w:sectPr>
          <w:pgSz w:w="11900" w:h="16838" w:orient="portrait"/>
          <w:cols w:equalWidth="0" w:num="2">
            <w:col w:w="520" w:space="560"/>
            <w:col w:w="9760"/>
          </w:cols>
          <w:pgMar w:left="500" w:top="268"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40"/>
          </w:cols>
          <w:pgMar w:left="500" w:top="268" w:right="55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29" w:lineRule="exact"/>
        <w:rPr>
          <w:sz w:val="20"/>
          <w:szCs w:val="20"/>
          <w:color w:val="auto"/>
        </w:rPr>
      </w:pPr>
    </w:p>
    <w:p>
      <w:pPr>
        <w:sectPr>
          <w:pgSz w:w="11900" w:h="16838" w:orient="portrait"/>
          <w:cols w:equalWidth="0" w:num="2">
            <w:col w:w="520" w:space="560"/>
            <w:col w:w="9760"/>
          </w:cols>
          <w:pgMar w:left="500" w:top="268" w:right="559" w:bottom="1440" w:gutter="0" w:footer="0" w:header="0"/>
          <w:type w:val="continuous"/>
        </w:sect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Registrant is a Delaware corporation. As permitted by subsection (b)(7) of Section 102 of the Delaware General Corporation Law (the “DGCL”), our amended and restated certificate of incorporation contains a provision eliminating the personal liability of our directors for monetary damages for violations of the director’s fiduciary duty, provided that such provision may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DCGL,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18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permits indemnification of our directors and officers to the maximum extent permitted by the DGCL, and our amended and restated bylaws provide for indemnification of our directors and officers and permits indemnification of employees and other agents to the maximum extent permitted by the DGCL.</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We have entered into indemnification agreements with certain of our directors and officers containing provisions that provide indemnification rights to the fullest extent permitted by the DGCL, subject to certain exceptions. The indemnification agreements require us, among other things, to indemnify our directors and officers against certain liabilities that may arise by reason of their status or service as directors and officers and to advance their expenses incurred as a result of any proceeding against them as to which they could be indemnified.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carry director and officer liability insurance.</w:t>
      </w:r>
    </w:p>
    <w:p>
      <w:pPr>
        <w:spacing w:after="0" w:line="3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8"/>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Incorporated by Reference to Filings Indicated</w:t>
            </w:r>
          </w:p>
        </w:tc>
        <w:tc>
          <w:tcPr>
            <w:tcW w:w="0" w:type="dxa"/>
            <w:vAlign w:val="bottom"/>
          </w:tcPr>
          <w:p>
            <w:pPr>
              <w:spacing w:after="0"/>
              <w:rPr>
                <w:sz w:val="1"/>
                <w:szCs w:val="1"/>
                <w:color w:val="auto"/>
              </w:rPr>
            </w:pPr>
          </w:p>
        </w:tc>
      </w:tr>
      <w:tr>
        <w:trPr>
          <w:trHeight w:val="116"/>
        </w:trPr>
        <w:tc>
          <w:tcPr>
            <w:tcW w:w="880" w:type="dxa"/>
            <w:vAlign w:val="bottom"/>
            <w:gridSpan w:val="2"/>
            <w:vMerge w:val="continue"/>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Pr>
          <w:p>
            <w:pPr>
              <w:spacing w:after="0"/>
              <w:rPr>
                <w:sz w:val="10"/>
                <w:szCs w:val="10"/>
                <w:color w:val="auto"/>
              </w:rPr>
            </w:pPr>
          </w:p>
        </w:tc>
        <w:tc>
          <w:tcPr>
            <w:tcW w:w="8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Filing</w:t>
            </w:r>
          </w:p>
        </w:tc>
        <w:tc>
          <w:tcPr>
            <w:tcW w:w="260" w:type="dxa"/>
            <w:vAlign w:val="bottom"/>
          </w:tcPr>
          <w:p>
            <w:pPr>
              <w:spacing w:after="0"/>
              <w:rPr>
                <w:sz w:val="10"/>
                <w:szCs w:val="10"/>
                <w:color w:val="auto"/>
              </w:rPr>
            </w:pPr>
          </w:p>
        </w:tc>
        <w:tc>
          <w:tcPr>
            <w:tcW w:w="5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Provided</w:t>
            </w:r>
          </w:p>
        </w:tc>
        <w:tc>
          <w:tcPr>
            <w:tcW w:w="0" w:type="dxa"/>
            <w:vAlign w:val="bottom"/>
          </w:tcPr>
          <w:p>
            <w:pPr>
              <w:spacing w:after="0"/>
              <w:rPr>
                <w:sz w:val="1"/>
                <w:szCs w:val="1"/>
                <w:color w:val="auto"/>
              </w:rPr>
            </w:pPr>
          </w:p>
        </w:tc>
      </w:tr>
      <w:tr>
        <w:trPr>
          <w:trHeight w:val="172"/>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gridSpan w:val="4"/>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61"/>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4.1</w:t>
            </w:r>
          </w:p>
        </w:tc>
        <w:tc>
          <w:tcPr>
            <w:tcW w:w="380" w:type="dxa"/>
            <w:vAlign w:val="bottom"/>
          </w:tcPr>
          <w:p>
            <w:pPr>
              <w:spacing w:after="0"/>
              <w:rPr>
                <w:sz w:val="22"/>
                <w:szCs w:val="22"/>
                <w:color w:val="auto"/>
              </w:rPr>
            </w:pPr>
          </w:p>
        </w:tc>
        <w:tc>
          <w:tcPr>
            <w:tcW w:w="2280" w:type="dxa"/>
            <w:vAlign w:val="bottom"/>
            <w:tcBorders>
              <w:top w:val="single" w:sz="8" w:color="auto"/>
            </w:tcBorders>
            <w:gridSpan w:val="2"/>
          </w:tcPr>
          <w:p>
            <w:pPr>
              <w:spacing w:after="0"/>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Sarepta Therapeutics, Inc. 2026</w:t>
              </w:r>
            </w:hyperlink>
          </w:p>
        </w:tc>
        <w:tc>
          <w:tcPr>
            <w:tcW w:w="3740" w:type="dxa"/>
            <w:vAlign w:val="bottom"/>
            <w:tcBorders>
              <w:top w:val="single" w:sz="8" w:color="auto"/>
            </w:tcBorders>
            <w:gridSpan w:val="4"/>
          </w:tcPr>
          <w:p>
            <w:pPr>
              <w:ind w:left="20"/>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Equity Incentive Plan</w:t>
              </w:r>
            </w:hyperlink>
          </w:p>
        </w:tc>
        <w:tc>
          <w:tcPr>
            <w:tcW w:w="200" w:type="dxa"/>
            <w:vAlign w:val="bottom"/>
          </w:tcPr>
          <w:p>
            <w:pPr>
              <w:spacing w:after="0"/>
              <w:rPr>
                <w:sz w:val="22"/>
                <w:szCs w:val="2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240" w:type="dxa"/>
            <w:vAlign w:val="bottom"/>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001-14895</w:t>
            </w:r>
          </w:p>
        </w:tc>
        <w:tc>
          <w:tcPr>
            <w:tcW w:w="260" w:type="dxa"/>
            <w:vAlign w:val="bottom"/>
          </w:tcPr>
          <w:p>
            <w:pPr>
              <w:spacing w:after="0"/>
              <w:rPr>
                <w:sz w:val="22"/>
                <w:szCs w:val="2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2"/>
                <w:szCs w:val="22"/>
                <w:color w:val="auto"/>
              </w:rPr>
            </w:pPr>
          </w:p>
        </w:tc>
        <w:tc>
          <w:tcPr>
            <w:tcW w:w="5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6/4/26</w:t>
            </w:r>
          </w:p>
        </w:tc>
        <w:tc>
          <w:tcPr>
            <w:tcW w:w="26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2280" w:type="dxa"/>
            <w:vAlign w:val="bottom"/>
            <w:gridSpan w:val="2"/>
          </w:tcPr>
          <w:p>
            <w:pPr>
              <w:spacing w:after="0"/>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Sarepta Therapeutics, Inc. 2026</w:t>
              </w:r>
            </w:hyperlink>
          </w:p>
        </w:tc>
        <w:tc>
          <w:tcPr>
            <w:tcW w:w="3740" w:type="dxa"/>
            <w:vAlign w:val="bottom"/>
            <w:gridSpan w:val="4"/>
          </w:tcPr>
          <w:p>
            <w:pPr>
              <w:ind w:left="20"/>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Employee Stock Purchase Plan</w:t>
              </w:r>
            </w:hyperlink>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001-14895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6/4/26</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2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Opinion of Ropes &amp; Gray LLP</w:t>
            </w:r>
          </w:p>
        </w:tc>
        <w:tc>
          <w:tcPr>
            <w:tcW w:w="15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6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KPMG LLP, independent registered public accounting firm.</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40"/>
          </w:cols>
          <w:pgMar w:left="500" w:top="268" w:right="559" w:bottom="1440" w:gutter="0" w:footer="0" w:header="0"/>
          <w:type w:val="continuous"/>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4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Consent of Ropes &amp; Gray LLP (included in Exhibit 5.1).</w:t>
            </w:r>
          </w:p>
        </w:tc>
        <w:tc>
          <w:tcPr>
            <w:tcW w:w="3520" w:type="dxa"/>
            <w:vAlign w:val="bottom"/>
            <w:gridSpan w:val="2"/>
          </w:tcPr>
          <w:p>
            <w:pPr>
              <w:spacing w:after="0"/>
              <w:rPr>
                <w:sz w:val="17"/>
                <w:szCs w:val="17"/>
                <w:color w:val="auto"/>
              </w:rPr>
            </w:pPr>
          </w:p>
        </w:tc>
        <w:tc>
          <w:tcPr>
            <w:tcW w:w="180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76"/>
              </w:rPr>
              <w:t>X</w:t>
            </w:r>
          </w:p>
        </w:tc>
      </w:tr>
      <w:tr>
        <w:trPr>
          <w:trHeight w:val="30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5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Powers of Attorney (included in the signature page to this Registration Statement).</w:t>
            </w:r>
          </w:p>
        </w:tc>
        <w:tc>
          <w:tcPr>
            <w:tcW w:w="180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76"/>
              </w:rPr>
              <w:t>X</w:t>
            </w:r>
          </w:p>
        </w:tc>
      </w:tr>
      <w:tr>
        <w:trPr>
          <w:trHeight w:val="30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4720" w:type="dxa"/>
            <w:vAlign w:val="bottom"/>
            <w:tcBorders>
              <w:top w:val="single" w:sz="8" w:color="0000EE"/>
            </w:tcBorders>
            <w:gridSpan w:val="2"/>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365" w:lineRule="exact"/>
        <w:rPr>
          <w:sz w:val="20"/>
          <w:szCs w:val="20"/>
          <w:color w:val="auto"/>
        </w:rPr>
      </w:pPr>
    </w:p>
    <w:p>
      <w:pPr>
        <w:ind w:left="6"/>
        <w:spacing w:after="0"/>
        <w:tabs>
          <w:tab w:leader="none" w:pos="106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1" w:lineRule="exact"/>
        <w:rPr>
          <w:sz w:val="20"/>
          <w:szCs w:val="20"/>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6" w:lineRule="exact"/>
        <w:rPr>
          <w:rFonts w:ascii="Times New Roman" w:cs="Times New Roman" w:eastAsia="Times New Roman" w:hAnsi="Times New Roman"/>
          <w:sz w:val="18"/>
          <w:szCs w:val="18"/>
          <w:color w:val="auto"/>
        </w:rPr>
      </w:pPr>
    </w:p>
    <w:p>
      <w:pPr>
        <w:ind w:left="966" w:right="200" w:hanging="539"/>
        <w:spacing w:after="0" w:line="277" w:lineRule="auto"/>
        <w:tabs>
          <w:tab w:leader="none" w:pos="96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pursuant to this Registration Statement, a post-effective amendment to this Registration Statement:</w:t>
      </w:r>
    </w:p>
    <w:p>
      <w:pPr>
        <w:spacing w:after="0" w:line="56" w:lineRule="exact"/>
        <w:rPr>
          <w:rFonts w:ascii="Times New Roman" w:cs="Times New Roman" w:eastAsia="Times New Roman" w:hAnsi="Times New Roman"/>
          <w:sz w:val="18"/>
          <w:szCs w:val="18"/>
          <w:color w:val="auto"/>
        </w:rPr>
      </w:pPr>
    </w:p>
    <w:p>
      <w:pPr>
        <w:ind w:left="1626" w:hanging="209"/>
        <w:spacing w:after="0"/>
        <w:tabs>
          <w:tab w:leader="none" w:pos="1626"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3" w:lineRule="exact"/>
        <w:rPr>
          <w:rFonts w:ascii="Times New Roman" w:cs="Times New Roman" w:eastAsia="Times New Roman" w:hAnsi="Times New Roman"/>
          <w:sz w:val="18"/>
          <w:szCs w:val="18"/>
          <w:color w:val="auto"/>
        </w:rPr>
      </w:pPr>
    </w:p>
    <w:p>
      <w:pPr>
        <w:ind w:left="1426" w:hanging="9"/>
        <w:spacing w:after="0" w:line="252" w:lineRule="auto"/>
        <w:tabs>
          <w:tab w:leader="none" w:pos="168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81" w:lineRule="exact"/>
        <w:rPr>
          <w:rFonts w:ascii="Times New Roman" w:cs="Times New Roman" w:eastAsia="Times New Roman" w:hAnsi="Times New Roman"/>
          <w:sz w:val="18"/>
          <w:szCs w:val="18"/>
          <w:color w:val="auto"/>
        </w:rPr>
      </w:pPr>
    </w:p>
    <w:p>
      <w:pPr>
        <w:ind w:left="1426" w:right="660" w:hanging="9"/>
        <w:spacing w:after="0" w:line="277" w:lineRule="auto"/>
        <w:tabs>
          <w:tab w:leader="none" w:pos="173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1" w:lineRule="exact"/>
        <w:rPr>
          <w:sz w:val="20"/>
          <w:szCs w:val="20"/>
          <w:color w:val="auto"/>
        </w:rPr>
      </w:pPr>
    </w:p>
    <w:p>
      <w:pPr>
        <w:jc w:val="both"/>
        <w:ind w:left="6" w:right="8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15(d) of the Exchange Act that are incorporated by reference in this Registration Statement.</w:t>
      </w:r>
    </w:p>
    <w:p>
      <w:pPr>
        <w:spacing w:after="0" w:line="83" w:lineRule="exact"/>
        <w:rPr>
          <w:sz w:val="20"/>
          <w:szCs w:val="20"/>
          <w:color w:val="auto"/>
        </w:rPr>
      </w:pPr>
    </w:p>
    <w:p>
      <w:pPr>
        <w:ind w:left="966" w:hanging="539"/>
        <w:spacing w:after="0" w:line="262" w:lineRule="auto"/>
        <w:tabs>
          <w:tab w:leader="none" w:pos="96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3" w:lineRule="exact"/>
        <w:rPr>
          <w:rFonts w:ascii="Times New Roman" w:cs="Times New Roman" w:eastAsia="Times New Roman" w:hAnsi="Times New Roman"/>
          <w:sz w:val="18"/>
          <w:szCs w:val="18"/>
          <w:color w:val="auto"/>
        </w:rPr>
      </w:pPr>
    </w:p>
    <w:p>
      <w:pPr>
        <w:ind w:left="966" w:right="340" w:hanging="539"/>
        <w:spacing w:after="0" w:line="277" w:lineRule="auto"/>
        <w:tabs>
          <w:tab w:leader="none" w:pos="96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426" w:right="80" w:hanging="426"/>
        <w:spacing w:after="0" w:line="255" w:lineRule="auto"/>
        <w:tabs>
          <w:tab w:leader="none" w:pos="4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ectPr>
          <w:pgSz w:w="11900" w:h="16838" w:orient="portrait"/>
          <w:cols w:equalWidth="0" w:num="1">
            <w:col w:w="10886"/>
          </w:cols>
          <w:pgMar w:left="494" w:top="360" w:right="519" w:bottom="1440" w:gutter="0" w:footer="0" w:header="0"/>
        </w:sectPr>
      </w:pPr>
    </w:p>
    <w:bookmarkStart w:id="4" w:name="page5"/>
    <w:bookmarkEnd w:id="4"/>
    <w:p>
      <w:pPr>
        <w:ind w:left="426" w:hanging="426"/>
        <w:spacing w:after="0" w:line="268" w:lineRule="auto"/>
        <w:tabs>
          <w:tab w:leader="none" w:pos="4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provisions described under “Item 6—Indemnification of Directors and Officers,”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26"/>
          </w:cols>
          <w:pgMar w:left="494" w:top="268" w:right="5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4th day of June,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SAREPTA THERAPEUTICS, INC.</w:t>
      </w:r>
    </w:p>
    <w:p>
      <w:pPr>
        <w:spacing w:after="0" w:line="220"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Douglas S. Ingram</w:t>
            </w: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Douglas S. Ingram</w:t>
            </w:r>
          </w:p>
        </w:tc>
      </w:t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Ryan H. Wong, Ian M. Estepan and Cristin L. Rothfuss,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of Sarepta Therapeutics,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8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below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S. Ingram</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Douglas S. Ingram</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Ryan H. Wong</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Ryan H. Wong</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 Kathleen Behrens, Ph.D.</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Chairwoman of the Board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 Kathleen Behrens, Ph.D.</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J. Barry</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J. Barry</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Kathryn J. Boor, Ph.D.</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Kathryn J. Boor, Ph.D.</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A. Chambers</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A. Chambers</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Deirdre Connelly</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Deirdre Connelly</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Stephen L. Mayo, Ph.D.</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L. Mayo, Ph.D.</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Claude Nicaise, M.D.</w:t>
            </w: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6"/>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Claude Nicaise, M.D.</w:t>
            </w:r>
          </w:p>
        </w:tc>
        <w:tc>
          <w:tcPr>
            <w:tcW w:w="30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Hans Wigzell, M.D., Ph.D.</w:t>
            </w: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6"/>
              </w:rPr>
              <w:t>June 4,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Hans Wigzell, M.D., Ph.D.</w:t>
            </w:r>
          </w:p>
        </w:tc>
        <w:tc>
          <w:tcPr>
            <w:tcW w:w="3080" w:type="dxa"/>
            <w:vAlign w:val="bottom"/>
          </w:tcPr>
          <w:p>
            <w:pPr>
              <w:spacing w:after="0"/>
              <w:rPr>
                <w:sz w:val="19"/>
                <w:szCs w:val="19"/>
                <w:color w:val="auto"/>
              </w:rPr>
            </w:pPr>
          </w:p>
        </w:tc>
        <w:tc>
          <w:tcPr>
            <w:tcW w:w="3260" w:type="dxa"/>
            <w:vAlign w:val="bottom"/>
          </w:tcPr>
          <w:p>
            <w:pPr>
              <w:spacing w:after="0"/>
              <w:rPr>
                <w:sz w:val="19"/>
                <w:szCs w:val="19"/>
                <w:color w:val="auto"/>
              </w:rPr>
            </w:pPr>
          </w:p>
        </w:tc>
      </w:tr>
    </w:tbl>
    <w:p>
      <w:pPr>
        <w:sectPr>
          <w:pgSz w:w="11900" w:h="16838" w:orient="portrait"/>
          <w:cols w:equalWidth="0" w:num="1">
            <w:col w:w="10480"/>
          </w:cols>
          <w:pgMar w:left="500" w:top="268" w:right="9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441325" cy="560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441325" cy="560070"/>
                    </a:xfrm>
                    <a:prstGeom prst="rect">
                      <a:avLst/>
                    </a:prstGeom>
                    <a:noFill/>
                  </pic:spPr>
                </pic:pic>
              </a:graphicData>
            </a:graphic>
          </wp:anchor>
        </w:drawing>
      </w:r>
    </w:p>
    <w:p>
      <w:pPr>
        <w:spacing w:after="0" w:line="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WWW.ROPESGRAY.COM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Sarepta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First Street, Suite 415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This opinion letter is furnished to you in connection with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Sarepta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date hereof,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the registration of 7,786,841 shares of Common Stock, $0.0001 par value,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Shares are issuable under the Company’s 2026 Equity Incentive Plan (the “</w:t>
      </w:r>
      <w:r>
        <w:rPr>
          <w:rFonts w:ascii="Times New Roman" w:cs="Times New Roman" w:eastAsia="Times New Roman" w:hAnsi="Times New Roman"/>
          <w:sz w:val="18"/>
          <w:szCs w:val="18"/>
          <w:u w:val="single" w:color="auto"/>
          <w:color w:val="auto"/>
        </w:rPr>
        <w:t>2026 Plan</w:t>
      </w:r>
      <w:r>
        <w:rPr>
          <w:rFonts w:ascii="Times New Roman" w:cs="Times New Roman" w:eastAsia="Times New Roman" w:hAnsi="Times New Roman"/>
          <w:sz w:val="18"/>
          <w:szCs w:val="18"/>
          <w:color w:val="auto"/>
        </w:rPr>
        <w:t>”) and the Company’s 2026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together with the 2026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firstLine="436"/>
        <w:spacing w:after="0" w:line="257" w:lineRule="auto"/>
        <w:rPr>
          <w:sz w:val="20"/>
          <w:szCs w:val="20"/>
          <w:color w:val="auto"/>
        </w:rPr>
      </w:pPr>
      <w:r>
        <w:rPr>
          <w:rFonts w:ascii="Times New Roman" w:cs="Times New Roman" w:eastAsia="Times New Roman" w:hAnsi="Times New Roman"/>
          <w:sz w:val="18"/>
          <w:szCs w:val="18"/>
          <w:color w:val="auto"/>
        </w:rPr>
        <w:t>We are familiar with the actions taken by the Company in connection with the adoption of the Plans.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opinions expressed below are limited to the Delaware General Corporation Law.</w:t>
      </w:r>
    </w:p>
    <w:p>
      <w:pPr>
        <w:spacing w:after="0" w:line="220" w:lineRule="exact"/>
        <w:rPr>
          <w:sz w:val="20"/>
          <w:szCs w:val="20"/>
          <w:color w:val="auto"/>
        </w:rPr>
      </w:pPr>
    </w:p>
    <w:p>
      <w:pPr>
        <w:ind w:right="180" w:firstLine="436"/>
        <w:spacing w:after="0" w:line="277"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when the Shares have been issued and sold in accordance with the terms of the Plans, the Shares will be validly issued, fully paid and nonassessable.</w:t>
      </w:r>
    </w:p>
    <w:p>
      <w:pPr>
        <w:spacing w:after="0" w:line="163" w:lineRule="exact"/>
        <w:rPr>
          <w:sz w:val="20"/>
          <w:szCs w:val="20"/>
          <w:color w:val="auto"/>
        </w:rPr>
      </w:pPr>
    </w:p>
    <w:p>
      <w:pPr>
        <w:ind w:right="180" w:firstLine="436"/>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thereunder.</w:t>
      </w:r>
    </w:p>
    <w:p>
      <w:pPr>
        <w:sectPr>
          <w:pgSz w:w="11900" w:h="16838" w:orient="portrait"/>
          <w:cols w:equalWidth="0" w:num="1">
            <w:col w:w="10900"/>
          </w:cols>
          <w:pgMar w:left="500" w:top="117"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Sarepta Therapeutics, Inc.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- 2 -</w:t>
            </w: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/s/ Ropes &amp; Gray LLP</w:t>
      </w:r>
    </w:p>
    <w:p>
      <w:pPr>
        <w:spacing w:after="0" w:line="23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Ropes &amp; Gray LLP</w:t>
      </w:r>
    </w:p>
    <w:p>
      <w:pPr>
        <w:sectPr>
          <w:pgSz w:w="11900" w:h="16838" w:orient="portrait"/>
          <w:cols w:equalWidth="0" w:num="1">
            <w:col w:w="9959"/>
          </w:cols>
          <w:pgMar w:left="500" w:top="268"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We consent to the use of our report dated March 2, 2026, with respect to the consolidated financial statements of Sarepta Therapeutics, Inc., and the effectiveness of internal control over financial reporting, incorporated herein by reference.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ectPr>
          <w:pgSz w:w="11900" w:h="16838" w:orient="portrait"/>
          <w:cols w:equalWidth="0" w:num="1">
            <w:col w:w="10900"/>
          </w:cols>
          <w:pgMar w:left="500" w:top="117" w:right="49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40"/>
        <w:spacing w:after="0"/>
        <w:rPr>
          <w:sz w:val="20"/>
          <w:szCs w:val="20"/>
          <w:color w:val="auto"/>
        </w:rPr>
      </w:pPr>
      <w:r>
        <w:rPr>
          <w:rFonts w:ascii="Arial" w:cs="Arial" w:eastAsia="Arial" w:hAnsi="Arial"/>
          <w:sz w:val="36"/>
          <w:szCs w:val="36"/>
          <w:b w:val="1"/>
          <w:bCs w:val="1"/>
          <w:color w:val="auto"/>
        </w:rPr>
        <w:t>Sarepta Therapeutics, Inc.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320" w:type="dxa"/>
            <w:vAlign w:val="bottom"/>
            <w:vMerge w:val="restart"/>
            <w:shd w:val="clear" w:color="auto" w:fill="9ADAF6"/>
          </w:tcPr>
          <w:p>
            <w:pPr>
              <w:ind w:left="22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18"/>
                <w:szCs w:val="18"/>
                <w:color w:val="auto"/>
              </w:rPr>
            </w:pPr>
          </w:p>
        </w:tc>
        <w:tc>
          <w:tcPr>
            <w:tcW w:w="15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3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shd w:val="clear" w:color="auto" w:fill="9ADAF6"/>
          </w:tcPr>
          <w:p>
            <w:pPr>
              <w:ind w:left="200"/>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320" w:type="dxa"/>
            <w:vAlign w:val="bottom"/>
            <w:shd w:val="clear" w:color="auto" w:fill="9ADAF6"/>
          </w:tcPr>
          <w:p>
            <w:pPr>
              <w:ind w:left="12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w w:val="99"/>
              </w:rPr>
              <w:t>Registered</w:t>
            </w: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40" w:type="dxa"/>
            <w:vAlign w:val="bottom"/>
          </w:tcPr>
          <w:p>
            <w:pPr>
              <w:spacing w:after="0"/>
              <w:rPr>
                <w:sz w:val="23"/>
                <w:szCs w:val="23"/>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4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4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Sarepta</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Therapeutics,</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 2026</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40" w:type="dxa"/>
            <w:vAlign w:val="bottom"/>
          </w:tcPr>
          <w:p>
            <w:pPr>
              <w:spacing w:after="0"/>
              <w:rPr>
                <w:sz w:val="10"/>
                <w:szCs w:val="10"/>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132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6,286,841</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$ 16.31</w:t>
            </w:r>
          </w:p>
        </w:tc>
        <w:tc>
          <w:tcPr>
            <w:tcW w:w="4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$ 14,160.55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102,538,377.71</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 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Sarepta</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Therapeutics,</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 2026</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Employee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2</w:t>
            </w:r>
          </w:p>
        </w:tc>
        <w:tc>
          <w:tcPr>
            <w:tcW w:w="40" w:type="dxa"/>
            <w:vAlign w:val="bottom"/>
          </w:tcPr>
          <w:p>
            <w:pPr>
              <w:spacing w:after="0"/>
              <w:rPr>
                <w:sz w:val="20"/>
                <w:szCs w:val="20"/>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Purchase</w:t>
            </w:r>
          </w:p>
        </w:tc>
        <w:tc>
          <w:tcPr>
            <w:tcW w:w="2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1,500,000</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$ 16.31</w:t>
            </w:r>
          </w:p>
        </w:tc>
        <w:tc>
          <w:tcPr>
            <w:tcW w:w="4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$ 3,378.62</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Plan-</w:t>
            </w:r>
          </w:p>
        </w:tc>
        <w:tc>
          <w:tcPr>
            <w:tcW w:w="2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24,465,000.00</w:t>
            </w:r>
          </w:p>
        </w:tc>
        <w:tc>
          <w:tcPr>
            <w:tcW w:w="40" w:type="dxa"/>
            <w:vAlign w:val="bottom"/>
          </w:tcPr>
          <w:p>
            <w:pPr>
              <w:spacing w:after="0"/>
              <w:rPr>
                <w:sz w:val="20"/>
                <w:szCs w:val="20"/>
                <w:color w:val="auto"/>
              </w:rPr>
            </w:pPr>
          </w:p>
        </w:tc>
        <w:tc>
          <w:tcPr>
            <w:tcW w:w="10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 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$ 17,539.17</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127,003,377.71</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$ 17,539.17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80" w:hanging="225"/>
        <w:spacing w:after="0" w:line="236" w:lineRule="auto"/>
        <w:tabs>
          <w:tab w:leader="none" w:pos="800" w:val="left"/>
        </w:tabs>
        <w:numPr>
          <w:ilvl w:val="0"/>
          <w:numId w:val="6"/>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under the Securities Act of 1933, as amended, this Registration Statement on Form S-8 (the "Registration Statement") shall also cover shares of the Registrant's common stock that become issuable under the Plans to prevent dilution as a result of any stock dividend, stock split, recapitalization or similar transaction. (2) Represents 6,286,841 shares of common stock reserved for future issuance under the Sarepta Therapeutics, Inc. 2026 Equity Incentive Plan. (3) Estimated solely for the purpose of determining the registration fee pursuant to Rule 457(c) and 457(h) under the Securities Act, the "proposed maximum offering price per share" is calculated based on the average of the high and low prices for the Registrant's common stock as reported on the Nasdaq Global Select Market on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6" w:lineRule="exact"/>
        <w:rPr>
          <w:sz w:val="20"/>
          <w:szCs w:val="20"/>
          <w:color w:val="auto"/>
        </w:rPr>
      </w:pPr>
    </w:p>
    <w:p>
      <w:pPr>
        <w:ind w:left="800" w:right="680" w:hanging="225"/>
        <w:spacing w:after="0" w:line="236" w:lineRule="auto"/>
        <w:tabs>
          <w:tab w:leader="none" w:pos="800" w:val="left"/>
        </w:tabs>
        <w:numPr>
          <w:ilvl w:val="0"/>
          <w:numId w:val="7"/>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under the Securities Act of 1933, as amended, this Registration Statement on Form S-8 (the "Registration Statement") shall also cover shares of the Registrant's common stock that become issuable under the Plans to prevent dilution as a result of any stock dividend, stock split, recapitalization or similar transaction. (3) Estimated solely for the purpose of determining the registration fee pursuant to Rule 457(c) and 457(h) under the Securities Act, the "proposed maximum offering price per share" is calculated based on the average of the high and low prices for the Registrant's common stock as reported on the Nasdaq Global Select Market on June 3, 2026. (4) Represents 1,500,000 shares of common stock reserved for future issuance under the Sarepta Therapeutics, Inc. 2026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ectPr>
          <w:pgSz w:w="11900" w:h="16838" w:orient="portrait"/>
          <w:cols w:equalWidth="0" w:num="1">
            <w:col w:w="11160"/>
          </w:cols>
          <w:pgMar w:left="360" w:top="142" w:right="379" w:bottom="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92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98360" cy="92710"/>
                    </a:xfrm>
                    <a:prstGeom prst="rect">
                      <a:avLst/>
                    </a:prstGeom>
                    <a:noFill/>
                  </pic:spPr>
                </pic:pic>
              </a:graphicData>
            </a:graphic>
          </wp:anchor>
        </w:drawing>
      </w:r>
    </w:p>
    <w:p>
      <w:pPr>
        <w:sectPr>
          <w:pgSz w:w="11900" w:h="16838" w:orient="portrait"/>
          <w:cols w:equalWidth="0" w:num="1">
            <w:col w:w="11160"/>
          </w:cols>
          <w:pgMar w:left="360" w:top="142" w:right="379" w:bottom="0" w:gutter="0" w:footer="0" w:header="0"/>
          <w:type w:val="continuous"/>
        </w:sectPr>
      </w:pPr>
    </w:p>
    <w:bookmarkStart w:id="11" w:name="page12"/>
    <w:bookmarkEnd w:id="11"/>
    <w:tbl>
      <w:tblPr>
        <w:tblLayout w:type="fixed"/>
        <w:tblInd w:w="900" w:type="dxa"/>
        <w:tblCellMar>
          <w:top w:w="0" w:type="dxa"/>
          <w:left w:w="0" w:type="dxa"/>
          <w:bottom w:w="0" w:type="dxa"/>
          <w:right w:w="0" w:type="dxa"/>
        </w:tblCellMar>
      </w:tblPr>
      <w:tr>
        <w:trPr>
          <w:trHeight w:val="241"/>
        </w:trPr>
        <w:tc>
          <w:tcPr>
            <w:tcW w:w="1720" w:type="dxa"/>
            <w:vAlign w:val="bottom"/>
            <w:gridSpan w:val="2"/>
          </w:tcPr>
          <w:p>
            <w:pPr>
              <w:spacing w:after="0"/>
              <w:rPr>
                <w:sz w:val="20"/>
                <w:szCs w:val="20"/>
                <w:color w:val="auto"/>
              </w:rPr>
            </w:pPr>
            <w:r>
              <w:rPr>
                <w:rFonts w:ascii="Arial" w:cs="Arial" w:eastAsia="Arial" w:hAnsi="Arial"/>
                <w:sz w:val="21"/>
                <w:szCs w:val="21"/>
                <w:b w:val="1"/>
                <w:bCs w:val="1"/>
                <w:color w:val="auto"/>
              </w:rPr>
              <w:t>Registrant Form</w:t>
            </w:r>
          </w:p>
        </w:tc>
        <w:tc>
          <w:tcPr>
            <w:tcW w:w="2120" w:type="dxa"/>
            <w:vAlign w:val="bottom"/>
          </w:tcPr>
          <w:p>
            <w:pPr>
              <w:jc w:val="center"/>
              <w:ind w:left="113"/>
              <w:spacing w:after="0"/>
              <w:rPr>
                <w:sz w:val="20"/>
                <w:szCs w:val="20"/>
                <w:color w:val="auto"/>
              </w:rPr>
            </w:pPr>
            <w:r>
              <w:rPr>
                <w:rFonts w:ascii="Arial" w:cs="Arial" w:eastAsia="Arial" w:hAnsi="Arial"/>
                <w:sz w:val="21"/>
                <w:szCs w:val="21"/>
                <w:b w:val="1"/>
                <w:bCs w:val="1"/>
                <w:color w:val="auto"/>
              </w:rPr>
              <w:t>File   Initial Filing</w:t>
            </w:r>
          </w:p>
        </w:tc>
        <w:tc>
          <w:tcPr>
            <w:tcW w:w="920" w:type="dxa"/>
            <w:vAlign w:val="bottom"/>
          </w:tcPr>
          <w:p>
            <w:pPr>
              <w:jc w:val="center"/>
              <w:spacing w:after="0"/>
              <w:rPr>
                <w:sz w:val="20"/>
                <w:szCs w:val="20"/>
                <w:color w:val="auto"/>
              </w:rPr>
            </w:pPr>
            <w:r>
              <w:rPr>
                <w:rFonts w:ascii="Arial" w:cs="Arial" w:eastAsia="Arial" w:hAnsi="Arial"/>
                <w:sz w:val="21"/>
                <w:szCs w:val="21"/>
                <w:b w:val="1"/>
                <w:bCs w:val="1"/>
                <w:color w:val="auto"/>
              </w:rPr>
              <w:t>Fee</w:t>
            </w:r>
          </w:p>
        </w:tc>
        <w:tc>
          <w:tcPr>
            <w:tcW w:w="1180" w:type="dxa"/>
            <w:vAlign w:val="bottom"/>
          </w:tcPr>
          <w:p>
            <w:pPr>
              <w:jc w:val="center"/>
              <w:spacing w:after="0"/>
              <w:rPr>
                <w:sz w:val="20"/>
                <w:szCs w:val="20"/>
                <w:color w:val="auto"/>
              </w:rPr>
            </w:pPr>
            <w:r>
              <w:rPr>
                <w:rFonts w:ascii="Arial" w:cs="Arial" w:eastAsia="Arial" w:hAnsi="Arial"/>
                <w:sz w:val="21"/>
                <w:szCs w:val="21"/>
                <w:b w:val="1"/>
                <w:bCs w:val="1"/>
                <w:color w:val="auto"/>
              </w:rPr>
              <w:t>Security</w:t>
            </w:r>
          </w:p>
        </w:tc>
        <w:tc>
          <w:tcPr>
            <w:tcW w:w="1160" w:type="dxa"/>
            <w:vAlign w:val="bottom"/>
          </w:tcPr>
          <w:p>
            <w:pPr>
              <w:jc w:val="center"/>
              <w:spacing w:after="0"/>
              <w:rPr>
                <w:sz w:val="20"/>
                <w:szCs w:val="20"/>
                <w:color w:val="auto"/>
              </w:rPr>
            </w:pPr>
            <w:r>
              <w:rPr>
                <w:rFonts w:ascii="Arial" w:cs="Arial" w:eastAsia="Arial" w:hAnsi="Arial"/>
                <w:sz w:val="21"/>
                <w:szCs w:val="21"/>
                <w:b w:val="1"/>
                <w:bCs w:val="1"/>
                <w:color w:val="auto"/>
              </w:rPr>
              <w:t>Security</w:t>
            </w:r>
          </w:p>
        </w:tc>
        <w:tc>
          <w:tcPr>
            <w:tcW w:w="1260" w:type="dxa"/>
            <w:vAlign w:val="bottom"/>
          </w:tcPr>
          <w:p>
            <w:pPr>
              <w:jc w:val="center"/>
              <w:spacing w:after="0"/>
              <w:rPr>
                <w:sz w:val="20"/>
                <w:szCs w:val="20"/>
                <w:color w:val="auto"/>
              </w:rPr>
            </w:pPr>
            <w:r>
              <w:rPr>
                <w:rFonts w:ascii="Arial" w:cs="Arial" w:eastAsia="Arial" w:hAnsi="Arial"/>
                <w:sz w:val="21"/>
                <w:szCs w:val="21"/>
                <w:b w:val="1"/>
                <w:bCs w:val="1"/>
                <w:color w:val="auto"/>
              </w:rPr>
              <w:t>Unsold</w:t>
            </w: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760" w:type="dxa"/>
            <w:vAlign w:val="bottom"/>
          </w:tcPr>
          <w:p>
            <w:pPr>
              <w:jc w:val="center"/>
              <w:spacing w:after="0"/>
              <w:rPr>
                <w:sz w:val="20"/>
                <w:szCs w:val="20"/>
                <w:color w:val="auto"/>
              </w:rPr>
            </w:pPr>
            <w:r>
              <w:rPr>
                <w:rFonts w:ascii="Arial" w:cs="Arial" w:eastAsia="Arial" w:hAnsi="Arial"/>
                <w:sz w:val="21"/>
                <w:szCs w:val="21"/>
                <w:b w:val="1"/>
                <w:bCs w:val="1"/>
                <w:color w:val="auto"/>
                <w:w w:val="99"/>
              </w:rPr>
              <w:t>Fee</w:t>
            </w:r>
          </w:p>
        </w:tc>
      </w:tr>
      <w:tr>
        <w:trPr>
          <w:trHeight w:val="240"/>
        </w:trPr>
        <w:tc>
          <w:tcPr>
            <w:tcW w:w="100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or Filer</w:t>
            </w:r>
          </w:p>
        </w:tc>
        <w:tc>
          <w:tcPr>
            <w:tcW w:w="72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or</w:t>
            </w:r>
          </w:p>
        </w:tc>
        <w:tc>
          <w:tcPr>
            <w:tcW w:w="2120" w:type="dxa"/>
            <w:vAlign w:val="bottom"/>
          </w:tcPr>
          <w:p>
            <w:pPr>
              <w:ind w:left="20"/>
              <w:spacing w:after="0" w:line="240" w:lineRule="exact"/>
              <w:rPr>
                <w:sz w:val="20"/>
                <w:szCs w:val="20"/>
                <w:color w:val="auto"/>
              </w:rPr>
            </w:pPr>
            <w:r>
              <w:rPr>
                <w:rFonts w:ascii="Arial" w:cs="Arial" w:eastAsia="Arial" w:hAnsi="Arial"/>
                <w:sz w:val="21"/>
                <w:szCs w:val="21"/>
                <w:b w:val="1"/>
                <w:bCs w:val="1"/>
                <w:color w:val="auto"/>
              </w:rPr>
              <w:t>Number Filing Date</w:t>
            </w:r>
          </w:p>
        </w:tc>
        <w:tc>
          <w:tcPr>
            <w:tcW w:w="92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118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11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12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7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r>
      <w:tr>
        <w:trPr>
          <w:trHeight w:val="240"/>
        </w:trPr>
        <w:tc>
          <w:tcPr>
            <w:tcW w:w="100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Name</w:t>
            </w:r>
          </w:p>
        </w:tc>
        <w:tc>
          <w:tcPr>
            <w:tcW w:w="72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2120" w:type="dxa"/>
            <w:vAlign w:val="bottom"/>
          </w:tcPr>
          <w:p>
            <w:pPr>
              <w:jc w:val="center"/>
              <w:ind w:left="133"/>
              <w:spacing w:after="0" w:line="240" w:lineRule="exact"/>
              <w:rPr>
                <w:sz w:val="20"/>
                <w:szCs w:val="20"/>
                <w:color w:val="auto"/>
              </w:rPr>
            </w:pPr>
            <w:r>
              <w:rPr>
                <w:rFonts w:ascii="Arial" w:cs="Arial" w:eastAsia="Arial" w:hAnsi="Arial"/>
                <w:sz w:val="21"/>
                <w:szCs w:val="21"/>
                <w:b w:val="1"/>
                <w:bCs w:val="1"/>
                <w:color w:val="auto"/>
              </w:rPr>
              <w:t>Date</w:t>
            </w:r>
          </w:p>
        </w:tc>
        <w:tc>
          <w:tcPr>
            <w:tcW w:w="4520" w:type="dxa"/>
            <w:vAlign w:val="bottom"/>
            <w:gridSpan w:val="4"/>
          </w:tcPr>
          <w:p>
            <w:pPr>
              <w:ind w:left="40"/>
              <w:spacing w:after="0" w:line="240" w:lineRule="exact"/>
              <w:rPr>
                <w:sz w:val="20"/>
                <w:szCs w:val="20"/>
                <w:color w:val="auto"/>
              </w:rPr>
            </w:pPr>
            <w:r>
              <w:rPr>
                <w:rFonts w:ascii="Arial" w:cs="Arial" w:eastAsia="Arial" w:hAnsi="Arial"/>
                <w:sz w:val="21"/>
                <w:szCs w:val="21"/>
                <w:b w:val="1"/>
                <w:bCs w:val="1"/>
                <w:color w:val="auto"/>
              </w:rPr>
              <w:t>Claimed Associated Associated Associated</w:t>
            </w: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7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with</w:t>
            </w:r>
          </w:p>
        </w:tc>
      </w:tr>
      <w:tr>
        <w:trPr>
          <w:trHeight w:val="240"/>
        </w:trPr>
        <w:tc>
          <w:tcPr>
            <w:tcW w:w="1000" w:type="dxa"/>
            <w:vAlign w:val="bottom"/>
          </w:tcPr>
          <w:p>
            <w:pPr>
              <w:spacing w:after="0"/>
              <w:rPr>
                <w:sz w:val="20"/>
                <w:szCs w:val="20"/>
                <w:color w:val="auto"/>
              </w:rPr>
            </w:pPr>
          </w:p>
        </w:tc>
        <w:tc>
          <w:tcPr>
            <w:tcW w:w="72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11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12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w:t>
            </w:r>
          </w:p>
        </w:tc>
        <w:tc>
          <w:tcPr>
            <w:tcW w:w="7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r>
      <w:tr>
        <w:trPr>
          <w:trHeight w:val="240"/>
        </w:trPr>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11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8"/>
              </w:rPr>
              <w:t>Offset</w:t>
            </w:r>
          </w:p>
        </w:tc>
        <w:tc>
          <w:tcPr>
            <w:tcW w:w="12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7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98"/>
              </w:rPr>
              <w:t>Offset</w:t>
            </w:r>
          </w:p>
        </w:tc>
      </w:tr>
      <w:tr>
        <w:trPr>
          <w:trHeight w:val="240"/>
        </w:trPr>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11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12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76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rPr>
              <w:t>Source</w:t>
            </w:r>
          </w:p>
        </w:tc>
      </w:tr>
      <w:tr>
        <w:trPr>
          <w:trHeight w:val="240"/>
        </w:trPr>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760" w:type="dxa"/>
            <w:vAlign w:val="bottom"/>
          </w:tcPr>
          <w:p>
            <w:pPr>
              <w:spacing w:after="0"/>
              <w:rPr>
                <w:sz w:val="20"/>
                <w:szCs w:val="20"/>
                <w:color w:val="auto"/>
              </w:rPr>
            </w:pPr>
          </w:p>
        </w:tc>
      </w:tr>
      <w:tr>
        <w:trPr>
          <w:trHeight w:val="282"/>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760" w:type="dxa"/>
            <w:vAlign w:val="bottom"/>
          </w:tcPr>
          <w:p>
            <w:pPr>
              <w:spacing w:after="0"/>
              <w:rPr>
                <w:sz w:val="24"/>
                <w:szCs w:val="24"/>
                <w:color w:val="auto"/>
              </w:rPr>
            </w:pPr>
          </w:p>
        </w:tc>
      </w:tr>
    </w:tbl>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98360" cy="2428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98360" cy="242824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1"/>
          <w:szCs w:val="21"/>
          <w:b w:val="1"/>
          <w:bCs w:val="1"/>
          <w:color w:val="auto"/>
        </w:rPr>
        <w:t>Rule 457(p)</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Sources</w:t>
      </w:r>
    </w:p>
    <w:sectPr>
      <w:pgSz w:w="11900" w:h="16838" w:orient="portrait"/>
      <w:cols w:equalWidth="0" w:num="1">
        <w:col w:w="11200"/>
      </w:cols>
      <w:pgMar w:left="380" w:top="1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46E87CCD"/>
    <w:multiLevelType w:val="hybridMultilevel"/>
    <w:lvl w:ilvl="0">
      <w:lvlJc w:val="left"/>
      <w:lvlText w:val="%1"/>
      <w:numFmt w:val="lowerLetter"/>
      <w:start w:val="1"/>
    </w:lvl>
    <w:lvl w:ilvl="1">
      <w:lvlJc w:val="left"/>
      <w:lvlText w:val="(%2)"/>
      <w:numFmt w:val="decimal"/>
      <w:start w:val="2"/>
    </w:lvl>
  </w:abstractNum>
  <w:abstractNum w:abstractNumId="3">
    <w:nsid w:val="3D1B58BA"/>
    <w:multiLevelType w:val="hybridMultilevel"/>
    <w:lvl w:ilvl="0">
      <w:lvlJc w:val="left"/>
      <w:lvlText w:val="(%1)"/>
      <w:numFmt w:val="lowerLetter"/>
      <w:start w:val="2"/>
    </w:lvl>
    <w:lvl w:ilvl="1">
      <w:lvlJc w:val="left"/>
      <w:lvlText w:val="%2"/>
      <w:numFmt w:val="decimal"/>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jpe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17" Type="http://schemas.openxmlformats.org/officeDocument/2006/relationships/hyperlink" Target="http://www.sec.gov/Archives/edgar/data/873303/000119312526084144/srpt-20251231.htm" TargetMode="External"/><Relationship Id="rId18" Type="http://schemas.openxmlformats.org/officeDocument/2006/relationships/hyperlink" Target="http://www.sec.gov/Archives/edgar/data/873303/000119312526177247/srpt-20260424.htm" TargetMode="External"/><Relationship Id="rId19" Type="http://schemas.openxmlformats.org/officeDocument/2006/relationships/hyperlink" Target="http://www.sec.gov/Archives/edgar/data/873303/000119312526208893/srpt-20260331.htm" TargetMode="External"/><Relationship Id="rId20" Type="http://schemas.openxmlformats.org/officeDocument/2006/relationships/hyperlink" Target="http://www.sec.gov/Archives/edgar/data/873303/000119312526072064/srpt-20260225.htm" TargetMode="External"/><Relationship Id="rId21" Type="http://schemas.openxmlformats.org/officeDocument/2006/relationships/hyperlink" Target="http://www.sec.gov/ix?doc=/Archives/edgar/data/873303/000119312526257501/d88936d8k.htm" TargetMode="External"/><Relationship Id="rId22" Type="http://schemas.openxmlformats.org/officeDocument/2006/relationships/hyperlink" Target="http://www.sec.gov/Archives/edgar/data/873303/000119312513250177/d548510d8k12b.htm" TargetMode="External"/><Relationship Id="rId23" Type="http://schemas.openxmlformats.org/officeDocument/2006/relationships/hyperlink" Target="http://www.sec.gov/Archives/edgar/data/873303/000156459020006769/srpt-10k_20191231.htm" TargetMode="External"/><Relationship Id="rId25" Type="http://schemas.openxmlformats.org/officeDocument/2006/relationships/hyperlink" Target="http://www.sec.gov/Archives/edgar/data/873303/000119312526257501/d88936dex101.htm" TargetMode="External"/><Relationship Id="rId26" Type="http://schemas.openxmlformats.org/officeDocument/2006/relationships/hyperlink" Target="http://www.sec.gov/Archives/edgar/data/873303/000119312526257501/d8893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2026-06-04T15:58:34Z</dcterms:created>
  <dcterms:modified xsi:type="dcterms:W3CDTF">2026-06-04T15:58:34Z</dcterms:modified>
</cp:coreProperties>
</file>