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Sarepta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001-14895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93-0797222</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215 First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274-4000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SRPT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June 4, 2026, Sarepta Therapeutics, Inc. (the “Company”) held its annual meeting of stockholders (the “Annual Meeting”). At the Annual Meeting, the Company’s stockholders voted to approve the Company’s 2026 Equity Incentive Plan (the “2026 Plan”). The 2026 Plan supersedes and replaces the Company’s 2018 Equity Incentive Plan, as amended. Subject to adjustment as described in the 2026 Plan, an aggregate of 6,286,841 shares of common stock may be issued pursuant to awards granted under the 2026 Plan. The foregoing summary of the 2026 Plan is qualified in its entirety by reference to the full text of the 2026 Plan, which is attached as Exhibit 10.1 hereto and is incorporated herein by reference.</w:t>
      </w:r>
    </w:p>
    <w:p>
      <w:pPr>
        <w:spacing w:after="0" w:line="14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At the Annual Meeting, the Company’s stockholders also voted to approve the Company’s 2026 Employee Stock Purchase Plan (the “2026 ESPP”). The 2026 ESPP supersedes and replaces the Company’s Amended and Restated 2013 Employee Stock Purchase Plan, as amended. Subject to adjustment as described in the 2026 ESPP, an aggregate of 1,500,000 shares of common stock will be available for issuance under the 2026 ESPP. The foregoing summary of the 2026 ESPP is qualified in its entirety by reference to the full text of the 2026 ESPP, which is attached as Exhibit 10.2 hereto and is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The following is a brief description of each proposal voted upon at the Annual Meeting and the final voting results for each such proposal. As of the record date for the Annual Meeting, April 8, 2026, there were 105,571,146 shares of common stock outstanding and entitled to vote at the Annual Meeting. There were 82,309,288 shares of common stock entitled to vote at the Annual Meeting present online or represented by proxy, which represented 77.97% of the outstanding shares entitled to vote at the Annual Meeting, and which constituted a quorum for the transaction of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Election of Directors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director nominees listed below were elected to serve on the Company’s board of directors as members of Class I for a term of two years. The results of the vote were as follows:</w:t>
      </w:r>
    </w:p>
    <w:p>
      <w:pPr>
        <w:spacing w:after="0" w:line="155"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For    </w:t>
            </w: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Against    </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Abstain    </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5"/>
        </w:trPr>
        <w:tc>
          <w:tcPr>
            <w:tcW w:w="20" w:type="dxa"/>
            <w:vAlign w:val="bottom"/>
          </w:tcPr>
          <w:p>
            <w:pPr>
              <w:spacing w:after="0"/>
              <w:rPr>
                <w:sz w:val="17"/>
                <w:szCs w:val="17"/>
                <w:color w:val="auto"/>
              </w:rPr>
            </w:pPr>
          </w:p>
        </w:tc>
        <w:tc>
          <w:tcPr>
            <w:tcW w:w="4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Douglas S. Ingram</w:t>
            </w:r>
          </w:p>
        </w:tc>
        <w:tc>
          <w:tcPr>
            <w:tcW w:w="480" w:type="dxa"/>
            <w:vAlign w:val="bottom"/>
          </w:tcPr>
          <w:p>
            <w:pPr>
              <w:spacing w:after="0"/>
              <w:rPr>
                <w:sz w:val="17"/>
                <w:szCs w:val="17"/>
                <w:color w:val="auto"/>
              </w:rPr>
            </w:pPr>
          </w:p>
        </w:tc>
        <w:tc>
          <w:tcPr>
            <w:tcW w:w="8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w w:val="96"/>
              </w:rPr>
              <w:t>66,812,593</w:t>
            </w:r>
          </w:p>
        </w:tc>
        <w:tc>
          <w:tcPr>
            <w:tcW w:w="48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827,973</w:t>
            </w:r>
          </w:p>
        </w:tc>
        <w:tc>
          <w:tcPr>
            <w:tcW w:w="480" w:type="dxa"/>
            <w:vAlign w:val="bottom"/>
          </w:tcPr>
          <w:p>
            <w:pPr>
              <w:spacing w:after="0"/>
              <w:rPr>
                <w:sz w:val="17"/>
                <w:szCs w:val="17"/>
                <w:color w:val="auto"/>
              </w:rPr>
            </w:pPr>
          </w:p>
        </w:tc>
        <w:tc>
          <w:tcPr>
            <w:tcW w:w="1060" w:type="dxa"/>
            <w:vAlign w:val="bottom"/>
            <w:tcBorders>
              <w:top w:val="single" w:sz="8" w:color="auto"/>
            </w:tcBorders>
          </w:tcPr>
          <w:p>
            <w:pPr>
              <w:jc w:val="right"/>
              <w:ind w:right="193"/>
              <w:spacing w:after="0" w:line="205" w:lineRule="exact"/>
              <w:rPr>
                <w:sz w:val="20"/>
                <w:szCs w:val="20"/>
                <w:color w:val="auto"/>
              </w:rPr>
            </w:pPr>
            <w:r>
              <w:rPr>
                <w:rFonts w:ascii="Times New Roman" w:cs="Times New Roman" w:eastAsia="Times New Roman" w:hAnsi="Times New Roman"/>
                <w:sz w:val="18"/>
                <w:szCs w:val="18"/>
                <w:color w:val="auto"/>
              </w:rPr>
              <w:t>52,441</w:t>
            </w:r>
          </w:p>
        </w:tc>
        <w:tc>
          <w:tcPr>
            <w:tcW w:w="220" w:type="dxa"/>
            <w:vAlign w:val="bottom"/>
          </w:tcPr>
          <w:p>
            <w:pPr>
              <w:spacing w:after="0"/>
              <w:rPr>
                <w:sz w:val="17"/>
                <w:szCs w:val="17"/>
                <w:color w:val="auto"/>
              </w:rPr>
            </w:pPr>
          </w:p>
        </w:tc>
        <w:tc>
          <w:tcPr>
            <w:tcW w:w="12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14,616,281</w:t>
            </w:r>
          </w:p>
        </w:tc>
      </w:tr>
      <w:tr>
        <w:trPr>
          <w:trHeight w:val="230"/>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Hans Wigzell, M.D., Ph.D.</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6"/>
              </w:rPr>
              <w:t>56,984,756</w:t>
            </w:r>
          </w:p>
        </w:tc>
        <w:tc>
          <w:tcPr>
            <w:tcW w:w="4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10,663,180</w:t>
            </w:r>
          </w:p>
        </w:tc>
        <w:tc>
          <w:tcPr>
            <w:tcW w:w="480" w:type="dxa"/>
            <w:vAlign w:val="bottom"/>
          </w:tcPr>
          <w:p>
            <w:pPr>
              <w:spacing w:after="0"/>
              <w:rPr>
                <w:sz w:val="19"/>
                <w:szCs w:val="19"/>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45,071</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14,616,281</w:t>
            </w:r>
          </w:p>
        </w:tc>
      </w:tr>
      <w:tr>
        <w:trPr>
          <w:trHeight w:val="229"/>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Kathryn J. Boor, Ph.D.</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6"/>
              </w:rPr>
              <w:t>63,915,239</w:t>
            </w:r>
          </w:p>
        </w:tc>
        <w:tc>
          <w:tcPr>
            <w:tcW w:w="4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3,722,626</w:t>
            </w:r>
          </w:p>
        </w:tc>
        <w:tc>
          <w:tcPr>
            <w:tcW w:w="480" w:type="dxa"/>
            <w:vAlign w:val="bottom"/>
          </w:tcPr>
          <w:p>
            <w:pPr>
              <w:spacing w:after="0"/>
              <w:rPr>
                <w:sz w:val="19"/>
                <w:szCs w:val="19"/>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55,142</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14,616,281</w:t>
            </w:r>
          </w:p>
        </w:tc>
      </w:tr>
      <w:tr>
        <w:trPr>
          <w:trHeight w:val="230"/>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Chambers</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6"/>
              </w:rPr>
              <w:t>65,892,431</w:t>
            </w:r>
          </w:p>
        </w:tc>
        <w:tc>
          <w:tcPr>
            <w:tcW w:w="4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1,752,077</w:t>
            </w:r>
          </w:p>
        </w:tc>
        <w:tc>
          <w:tcPr>
            <w:tcW w:w="480" w:type="dxa"/>
            <w:vAlign w:val="bottom"/>
          </w:tcPr>
          <w:p>
            <w:pPr>
              <w:spacing w:after="0"/>
              <w:rPr>
                <w:sz w:val="19"/>
                <w:szCs w:val="19"/>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48,499</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14,616,281</w:t>
            </w:r>
          </w:p>
        </w:tc>
      </w:tr>
      <w:tr>
        <w:trPr>
          <w:trHeight w:val="234"/>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Deirdre Connelly</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6"/>
              </w:rPr>
              <w:t>53,419,881</w:t>
            </w:r>
          </w:p>
        </w:tc>
        <w:tc>
          <w:tcPr>
            <w:tcW w:w="4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14,213,242</w:t>
            </w:r>
          </w:p>
        </w:tc>
        <w:tc>
          <w:tcPr>
            <w:tcW w:w="480" w:type="dxa"/>
            <w:vAlign w:val="bottom"/>
          </w:tcPr>
          <w:p>
            <w:pPr>
              <w:spacing w:after="0"/>
              <w:rPr>
                <w:sz w:val="20"/>
                <w:szCs w:val="20"/>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59,884</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14,616,281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Advisory Vote to Approve Named Executive Officer Compensation</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stockholders approved, on an advisory basis, the compensation of the Company’s named executive officers for 2025. The results of the advisory vote were as follows:</w:t>
      </w:r>
    </w:p>
    <w:p>
      <w:pPr>
        <w:spacing w:after="0" w:line="155"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2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45,185,398</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22,373,065</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134,544</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14,616,281</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 Approval of the Company ’s 2026 Equity Incentive Plan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stockholders approved the 2026 Plan. The results of the vote were as follows:</w:t>
      </w:r>
    </w:p>
    <w:p>
      <w:pPr>
        <w:spacing w:after="0" w:line="219"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2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63,233,193</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4,395,283</w:t>
            </w:r>
          </w:p>
        </w:tc>
        <w:tc>
          <w:tcPr>
            <w:tcW w:w="100" w:type="dxa"/>
            <w:vAlign w:val="bottom"/>
          </w:tcPr>
          <w:p>
            <w:pPr>
              <w:spacing w:after="0"/>
              <w:rPr>
                <w:sz w:val="19"/>
                <w:szCs w:val="19"/>
                <w:color w:val="auto"/>
              </w:rPr>
            </w:pPr>
          </w:p>
        </w:tc>
        <w:tc>
          <w:tcPr>
            <w:tcW w:w="23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64,531</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14,616,281</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 Approval of the Company ’s 2026 Employee Stock Purchase Plan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stockholders approved the 2026 ESPP. The results of the vote were as follows:</w:t>
      </w:r>
    </w:p>
    <w:p>
      <w:pPr>
        <w:spacing w:after="0" w:line="219"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2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67,098,699</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532,525</w:t>
            </w:r>
          </w:p>
        </w:tc>
        <w:tc>
          <w:tcPr>
            <w:tcW w:w="100" w:type="dxa"/>
            <w:vAlign w:val="bottom"/>
          </w:tcPr>
          <w:p>
            <w:pPr>
              <w:spacing w:after="0"/>
              <w:rPr>
                <w:sz w:val="19"/>
                <w:szCs w:val="19"/>
                <w:color w:val="auto"/>
              </w:rPr>
            </w:pPr>
          </w:p>
        </w:tc>
        <w:tc>
          <w:tcPr>
            <w:tcW w:w="23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61,783</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14,616,281</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5: Ratification of KPMG as the Company ’s Independent Registered Public Accounting Firm</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current year ending December 31, 2026. The results of the vote were as follows:</w:t>
      </w: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28"/>
        </w:trPr>
        <w:tc>
          <w:tcPr>
            <w:tcW w:w="284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79,907,368</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rPr>
              <w:t>2,110,136</w:t>
            </w:r>
          </w:p>
        </w:tc>
        <w:tc>
          <w:tcPr>
            <w:tcW w:w="80" w:type="dxa"/>
            <w:vAlign w:val="bottom"/>
          </w:tcPr>
          <w:p>
            <w:pPr>
              <w:spacing w:after="0"/>
              <w:rPr>
                <w:sz w:val="19"/>
                <w:szCs w:val="19"/>
                <w:color w:val="auto"/>
              </w:rPr>
            </w:pPr>
          </w:p>
        </w:tc>
        <w:tc>
          <w:tcPr>
            <w:tcW w:w="266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291,784</w:t>
            </w:r>
          </w:p>
        </w:tc>
      </w:tr>
    </w:tbl>
    <w:p>
      <w:pPr>
        <w:sectPr>
          <w:pgSz w:w="11900" w:h="16838" w:orient="portrait"/>
          <w:cols w:equalWidth="0" w:num="1">
            <w:col w:w="10960"/>
          </w:cols>
          <w:pgMar w:left="440" w:top="293"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2026</w:t>
            </w:r>
          </w:p>
        </w:tc>
        <w:tc>
          <w:tcPr>
            <w:tcW w:w="15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Equity Incentive Plan</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2026</w:t>
            </w:r>
          </w:p>
        </w:tc>
        <w:tc>
          <w:tcPr>
            <w:tcW w:w="2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8"/>
              </w:rPr>
              <w:t>Employee Stock Purchase Plan</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44" w:hanging="1044"/>
        <w:spacing w:after="0" w:line="282" w:lineRule="auto"/>
        <w:tabs>
          <w:tab w:leader="none" w:pos="10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of Sarepta Therapeutics, Inc., formatted in Inline XBRL and included as Exhibit 101</w:t>
      </w:r>
    </w:p>
    <w:p>
      <w:pPr>
        <w:sectPr>
          <w:pgSz w:w="11900" w:h="16838" w:orient="portrait"/>
          <w:cols w:equalWidth="0" w:num="1">
            <w:col w:w="10204"/>
          </w:cols>
          <w:pgMar w:left="436" w:top="293" w:right="12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Douglas S. Ingram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124"/>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31" w:lineRule="exact"/>
        <w:rPr>
          <w:sz w:val="20"/>
          <w:szCs w:val="20"/>
          <w:color w:val="auto"/>
        </w:rPr>
      </w:pPr>
    </w:p>
    <w:p>
      <w:pPr>
        <w:ind w:left="4144"/>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DEFINED TERMS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by reference, defines certain terms used in the Plan and includes certain operational rules related to those terms.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PURPOSE</w:t>
      </w:r>
    </w:p>
    <w:p>
      <w:pPr>
        <w:spacing w:after="0" w:line="121"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The Plan has been established to advance the interests of the Company by providing for the grant to Participants of Stock and Stock-based Awards. Upon the effectiveness of the Plan, no new awards will be granted under a Prior Plan but previously granted awards under a Prior Plan will continue in accordance with their terms.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ADMINISTRATION</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Plan will be administered by the Administrator. The Administrator has discretionary authority, subject only to the express provisions of the Plan, to administer and interpret the Plan and any Awards; to determine eligibility for and grant Awards; to determine the exercise price, base value from which appreciation is measured, or purchase price, if any, applicable to any Award; to determine, modify, accelerate or waive the terms and conditions of any Award; to determine the form of settlement of Awards (whether in cash, shares of Stock, other Awards or other property); to prescribe forms, rules and procedures relating to the Plan and Awards; and to otherwise do all things necessary or desirable to carry out the purposes of the Plan or any Award. Determinations of the Administrator made with respect to the Plan or any Award are conclusive and bind all persons.</w:t>
      </w:r>
    </w:p>
    <w:p>
      <w:pPr>
        <w:spacing w:after="0" w:line="291" w:lineRule="exact"/>
        <w:rPr>
          <w:sz w:val="20"/>
          <w:szCs w:val="20"/>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POOL; LIMITS ON AWARDS UNDER THE PLAN</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54" w:lineRule="auto"/>
        <w:tabs>
          <w:tab w:leader="none" w:pos="699"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Shares</w:t>
      </w:r>
      <w:r>
        <w:rPr>
          <w:rFonts w:ascii="Times New Roman" w:cs="Times New Roman" w:eastAsia="Times New Roman" w:hAnsi="Times New Roman"/>
          <w:sz w:val="18"/>
          <w:szCs w:val="18"/>
          <w:color w:val="auto"/>
        </w:rPr>
        <w:t>. Subject to adjustment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a total of 6,740,000 shares may be delivered in satisfaction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plus the number of shares of Stock that become available for grant under clause (ii)(C) of the third sentence of this Section 4(a), and less one (1) share for every one (1) share of Stock that was subject to a stock option or a stock appreciation right granted after March 11, 2026 and prior to the Effective Date under a Prior Plan and less 1.26 shares for every one (1) share of Stock that was subject to an award other than a stock option or a stock appreciation right granted after March 11, 2026 and prior to the Effective Date under a Prior Plan (such aggregate number of shares of Stock, the “</w:t>
      </w:r>
      <w:r>
        <w:rPr>
          <w:rFonts w:ascii="Times New Roman" w:cs="Times New Roman" w:eastAsia="Times New Roman" w:hAnsi="Times New Roman"/>
          <w:sz w:val="18"/>
          <w:szCs w:val="18"/>
          <w:u w:val="single" w:color="auto"/>
          <w:color w:val="auto"/>
        </w:rPr>
        <w:t>Share Pool</w:t>
      </w:r>
      <w:r>
        <w:rPr>
          <w:rFonts w:ascii="Times New Roman" w:cs="Times New Roman" w:eastAsia="Times New Roman" w:hAnsi="Times New Roman"/>
          <w:sz w:val="18"/>
          <w:szCs w:val="18"/>
          <w:color w:val="auto"/>
        </w:rPr>
        <w:t xml:space="preserve">”). Up to 6,740,000 shares of Stock from the Share Pool may be delivered in satisfaction of ISOs, but nothing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will be construed as requiring that any, or any fixed number of, ISOs be awarded under the Plan. For purposes of determining the share limits under this Section 4(a), (i) each share of Stock subject to a Stock Option or SAR will count as one share and each share of Stock subject to any other Award will count as 1.26 shares, and (ii) the number of shares of Stock delivered in satisfaction of Awards will be determined (A) by reducing the Share Pool by the number of shares of Stock withheld by the Company in payment of the exercise price or purchase price of an Award or an award granted under a Prior Plan or in satisfaction of tax</w:t>
      </w:r>
    </w:p>
    <w:p>
      <w:pPr>
        <w:sectPr>
          <w:pgSz w:w="11900" w:h="16838" w:orient="portrait"/>
          <w:cols w:equalWidth="0" w:num="1">
            <w:col w:w="11024"/>
          </w:cols>
          <w:pgMar w:left="436" w:top="117" w:right="439" w:bottom="1440" w:gutter="0" w:footer="0" w:header="0"/>
        </w:sectPr>
      </w:pPr>
    </w:p>
    <w:bookmarkStart w:id="5" w:name="page6"/>
    <w:bookmarkEnd w:id="5"/>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 requirements with respect to an Award or an award granted under a Prior Plan, (B) by reducing the Share Pool by the full number of shares covered by a SAR any portion of which is settled in Stock (and not only the number of shares of Stock delivered in settlement), and (C) by increasing the Share Pool by (I) any shares of Stock underlying any portion of an Award that is settled in cash or that expires, becomes unexercisable, terminates or is forfeited to or repurchased by the Company without the issuance (or retention, in the case of Restricted Stock or Unrestricted Stock) of Stock and</w:t>
      </w:r>
    </w:p>
    <w:p>
      <w:pPr>
        <w:spacing w:after="0" w:line="3" w:lineRule="exact"/>
        <w:rPr>
          <w:sz w:val="20"/>
          <w:szCs w:val="20"/>
          <w:color w:val="auto"/>
        </w:rPr>
      </w:pPr>
    </w:p>
    <w:p>
      <w:pPr>
        <w:ind w:left="4" w:right="160" w:hanging="4"/>
        <w:spacing w:after="0" w:line="253" w:lineRule="auto"/>
        <w:tabs>
          <w:tab w:leader="none" w:pos="2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Stock that, as of March 11, 2026, are subject to awards under a Prior Plan and that, on or after March 11, 2026, expire or are terminated, surrendered or canceled without the delivery of any shares of Stock, or are forfeited or reacquired by the Company, in accordance with the terms of the Prior Plan (after giving effect to the fungible share ratio set forth in this Plan). For the avoidance of doubt, the Share Pool will not be increased by any shares of Stock delivered under the Plan that are subsequently repurchased using proceeds directly attributable to Stock Option exercises. The limits set forth in this Section 4(a) will be construed to comply with the applicable requirements of Section 422.</w:t>
      </w:r>
    </w:p>
    <w:p>
      <w:pPr>
        <w:spacing w:after="0" w:line="182"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70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Substitute Awards</w:t>
      </w:r>
      <w:r>
        <w:rPr>
          <w:rFonts w:ascii="Times New Roman" w:cs="Times New Roman" w:eastAsia="Times New Roman" w:hAnsi="Times New Roman"/>
          <w:sz w:val="18"/>
          <w:szCs w:val="18"/>
          <w:color w:val="auto"/>
        </w:rPr>
        <w:t>. The Administrator may grant Substitute Awards under the Plan. To the extent consistent with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422 and the regulations thereunder and other applicable legal requirements (including applicable stock exchange requirements), shares of Stock delivered in respect of Substitute Awards will be in addition to and will not reduce the Share Pool. Notwithstanding the foregoing or anything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to the contrary, if any Substitute Award is settled in cash or expires, becomes unexercisable, terminates or is forfeited to or repurchased by the Company without the delivery (or retention, in the case of Restricted Stock or Unrestricted Stock) of Stock, the shares of Stock previously subject to such Award will not increase the Share Pool or otherwise be available for future grant under the Plan. The Administrator will determine the extent to which the terms and conditions of the Plan apply to Substitute Awards, if at all;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Substitute Awards will not be subject to the limits described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below.</w:t>
      </w:r>
    </w:p>
    <w:p>
      <w:pPr>
        <w:spacing w:after="0" w:line="184" w:lineRule="exact"/>
        <w:rPr>
          <w:rFonts w:ascii="Times New Roman" w:cs="Times New Roman" w:eastAsia="Times New Roman" w:hAnsi="Times New Roman"/>
          <w:sz w:val="18"/>
          <w:szCs w:val="18"/>
          <w:b w:val="1"/>
          <w:bCs w:val="1"/>
          <w:color w:val="auto"/>
        </w:rPr>
      </w:pPr>
    </w:p>
    <w:p>
      <w:pPr>
        <w:ind w:left="4" w:right="240" w:firstLine="436"/>
        <w:spacing w:after="0" w:line="317" w:lineRule="auto"/>
        <w:tabs>
          <w:tab w:leader="none" w:pos="689" w:val="left"/>
        </w:tabs>
        <w:numPr>
          <w:ilvl w:val="1"/>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Type of Shares</w:t>
      </w:r>
      <w:r>
        <w:rPr>
          <w:rFonts w:ascii="Times New Roman" w:cs="Times New Roman" w:eastAsia="Times New Roman" w:hAnsi="Times New Roman"/>
          <w:sz w:val="17"/>
          <w:szCs w:val="17"/>
          <w:color w:val="auto"/>
        </w:rPr>
        <w:t>. Stock delivered by the Company under the Plan may be authorized but unissued Stock, treasury Stock or previously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acquired by the Company. No fractional shares of Stock will be delivered under the Plan, unless otherwise determined by the Administrator.</w:t>
      </w:r>
    </w:p>
    <w:p>
      <w:pPr>
        <w:spacing w:after="0" w:line="131" w:lineRule="exact"/>
        <w:rPr>
          <w:rFonts w:ascii="Times New Roman" w:cs="Times New Roman" w:eastAsia="Times New Roman" w:hAnsi="Times New Roman"/>
          <w:sz w:val="17"/>
          <w:szCs w:val="17"/>
          <w:b w:val="1"/>
          <w:bCs w:val="1"/>
          <w:color w:val="auto"/>
        </w:rPr>
      </w:pPr>
    </w:p>
    <w:p>
      <w:pPr>
        <w:ind w:left="4" w:right="40" w:firstLine="436"/>
        <w:spacing w:after="0" w:line="256" w:lineRule="auto"/>
        <w:tabs>
          <w:tab w:leader="none" w:pos="70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 Limits</w:t>
      </w:r>
      <w:r>
        <w:rPr>
          <w:rFonts w:ascii="Times New Roman" w:cs="Times New Roman" w:eastAsia="Times New Roman" w:hAnsi="Times New Roman"/>
          <w:sz w:val="18"/>
          <w:szCs w:val="18"/>
          <w:color w:val="auto"/>
        </w:rPr>
        <w:t>. The aggregate value of all compensation granted or paid to any Director with respect to any calendar year, including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granted under the Plan and cash fees or other compensation paid by the Company to such Director outside of the Plan for his or her services as a Director during such calendar year, may not exceed $1,000,000 in the aggregate ($1,500,000 in the aggregate with respect to a Director’s first year of service on the Board), calculating the value of any Awards based on the grant date fair value in accordance with the Accounting Rules, assuming a maximum payout. For the avoidance of doubt, the limitation in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will not apply to any compensation granted or paid to a Director for his or her services to the Company or a subsidiary other than as a Director, including, without limitation, as a consultant or adviser to the Company or a subsidiary.</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ELIGIBILITY AND PARTICIPATION</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Administrator will select Participants from among Employees and Directors of, and consultants and advisors to, the Company and its subsidiaries. Eligibility for ISOs is limited to individuals described in the first sentence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who are employees of the Company or of a “parent corporation” or “subsidiary corporation” of the Company as those terms are defined in Section 424 of the Code. Eligibility for Stock Options, other than ISOs, and SARs is limited to individuals described in the first sentence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who are providing direct services on the date of grant of the Award to the Company or to a subsidiary of the Company that would be described in the first sentence of Section 1.409A-1(b)(5)(iii)(E) of the Treasury Regulations.</w:t>
      </w:r>
    </w:p>
    <w:p>
      <w:pPr>
        <w:spacing w:after="0" w:line="291"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RULES APPLICABLE TO AWARDS</w:t>
      </w:r>
    </w:p>
    <w:p>
      <w:pPr>
        <w:spacing w:after="0" w:line="117"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 Awards</w:t>
      </w:r>
    </w:p>
    <w:p>
      <w:pPr>
        <w:spacing w:after="0" w:line="225" w:lineRule="exact"/>
        <w:rPr>
          <w:rFonts w:ascii="Times New Roman" w:cs="Times New Roman" w:eastAsia="Times New Roman" w:hAnsi="Times New Roman"/>
          <w:sz w:val="18"/>
          <w:szCs w:val="18"/>
          <w:b w:val="1"/>
          <w:bCs w:val="1"/>
          <w:color w:val="auto"/>
        </w:rPr>
      </w:pPr>
    </w:p>
    <w:p>
      <w:pPr>
        <w:ind w:left="4" w:right="20" w:firstLine="987"/>
        <w:spacing w:after="0" w:line="259" w:lineRule="auto"/>
        <w:tabs>
          <w:tab w:leader="none" w:pos="125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Provisions</w:t>
      </w:r>
      <w:r>
        <w:rPr>
          <w:rFonts w:ascii="Times New Roman" w:cs="Times New Roman" w:eastAsia="Times New Roman" w:hAnsi="Times New Roman"/>
          <w:sz w:val="18"/>
          <w:szCs w:val="18"/>
          <w:color w:val="auto"/>
        </w:rPr>
        <w:t>. The Administrator will determine the terms and conditions of all Awards, subject to the limitations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No term of an Award shall provide for automatic “reload” grants of additional Awards upon the exercise of an Option or SAR. By accepting (or, under such rules as the Administrator may prescribe, being deemed to have accepted) an Award, the Participant agrees (or will be deemed to have agreed) to the terms and conditions of the Award and the Plan. Notwithstanding any provision of the Plan to the contrary, Substitute Awards may contain terms and conditions that are inconsistent with the terms and conditions specified herein, as determined by the Administrator.</w:t>
      </w:r>
    </w:p>
    <w:p>
      <w:pPr>
        <w:spacing w:after="0" w:line="179" w:lineRule="exact"/>
        <w:rPr>
          <w:rFonts w:ascii="Times New Roman" w:cs="Times New Roman" w:eastAsia="Times New Roman" w:hAnsi="Times New Roman"/>
          <w:sz w:val="18"/>
          <w:szCs w:val="18"/>
          <w:b w:val="1"/>
          <w:bCs w:val="1"/>
          <w:color w:val="auto"/>
        </w:rPr>
      </w:pPr>
    </w:p>
    <w:p>
      <w:pPr>
        <w:ind w:left="4" w:right="180" w:firstLine="987"/>
        <w:spacing w:after="0" w:line="286" w:lineRule="auto"/>
        <w:tabs>
          <w:tab w:leader="none" w:pos="125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No Awards may be made after ten (10) years from the Date of Adoption, but previously granted Awards may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that date in accordance with their terms.</w:t>
      </w:r>
    </w:p>
    <w:p>
      <w:pPr>
        <w:spacing w:after="0" w:line="154" w:lineRule="exact"/>
        <w:rPr>
          <w:rFonts w:ascii="Times New Roman" w:cs="Times New Roman" w:eastAsia="Times New Roman" w:hAnsi="Times New Roman"/>
          <w:sz w:val="18"/>
          <w:szCs w:val="18"/>
          <w:b w:val="1"/>
          <w:bCs w:val="1"/>
          <w:color w:val="auto"/>
        </w:rPr>
      </w:pPr>
    </w:p>
    <w:p>
      <w:pPr>
        <w:ind w:left="4" w:right="20" w:firstLine="987"/>
        <w:spacing w:after="0" w:line="259" w:lineRule="auto"/>
        <w:tabs>
          <w:tab w:leader="none" w:pos="125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Neither ISOs nor, except as the Administrator otherwise expressly provides in accordance with the third sentence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6(a)(3)</w:t>
      </w:r>
      <w:r>
        <w:rPr>
          <w:rFonts w:ascii="Times New Roman" w:cs="Times New Roman" w:eastAsia="Times New Roman" w:hAnsi="Times New Roman"/>
          <w:sz w:val="18"/>
          <w:szCs w:val="18"/>
          <w:color w:val="auto"/>
        </w:rPr>
        <w:t xml:space="preserve">, other Awards may be transferred other than by will or by the laws of descent and distribution. During a Participant’s lifetime, ISOs and, except as the Administrator otherwise expressly provides in accordance with the third sentence of this </w:t>
      </w:r>
      <w:r>
        <w:rPr>
          <w:rFonts w:ascii="Times New Roman" w:cs="Times New Roman" w:eastAsia="Times New Roman" w:hAnsi="Times New Roman"/>
          <w:sz w:val="18"/>
          <w:szCs w:val="18"/>
          <w:u w:val="single" w:color="auto"/>
          <w:color w:val="auto"/>
        </w:rPr>
        <w:t>Section 6(a)(3)</w:t>
      </w:r>
      <w:r>
        <w:rPr>
          <w:rFonts w:ascii="Times New Roman" w:cs="Times New Roman" w:eastAsia="Times New Roman" w:hAnsi="Times New Roman"/>
          <w:sz w:val="18"/>
          <w:szCs w:val="18"/>
          <w:color w:val="auto"/>
        </w:rPr>
        <w:t>, SARs and NSOs may be exercised only by the Participant. The Administrator may permit the gratuitous transfer (i.e., transfer not for value) of Awards other than ISOs, subject to applicable securities and other laws and such terms and conditions as the Administrator may determine.</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25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Exercisability</w:t>
      </w:r>
      <w:r>
        <w:rPr>
          <w:rFonts w:ascii="Times New Roman" w:cs="Times New Roman" w:eastAsia="Times New Roman" w:hAnsi="Times New Roman"/>
          <w:sz w:val="18"/>
          <w:szCs w:val="18"/>
          <w:color w:val="auto"/>
        </w:rPr>
        <w:t>. The Administrator will determine the time or times at which an Award vests or becomes exercisable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on which a Stock Option or SAR remains exercisable. Without limiting the foregoing, the Administrator may at any time accelerate the vesting and/or exercisability of an Award (or any portion thereof), regardless of any adverse or potentially adverse tax or other consequences resulting from such acceleration. Unless the Administrator expressly provides otherwise, however, the following rules will apply if a Participant’s Employment ceases: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7" w:name="page8"/>
    <w:bookmarkEnd w:id="7"/>
    <w:p>
      <w:pPr>
        <w:jc w:val="both"/>
        <w:ind w:left="440" w:right="220" w:firstLine="948"/>
        <w:spacing w:after="0" w:line="261" w:lineRule="auto"/>
        <w:tabs>
          <w:tab w:leader="none" w:pos="168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provided in (B) and (C) below, immediately upon the cessation of the Participant’s Employment each Stock Option and SAR (or portion thereof) that is then held by the Participant or by the Participant’s permitted transferees, if any, will cease to be exercisable and will terminate and each other Award that is then held by the Participant or by the Participant’s permitted transferees, if any, to the extent not then vested will be forfeited.</w:t>
      </w:r>
    </w:p>
    <w:p>
      <w:pPr>
        <w:spacing w:after="0" w:line="71" w:lineRule="exact"/>
        <w:rPr>
          <w:rFonts w:ascii="Times New Roman" w:cs="Times New Roman" w:eastAsia="Times New Roman" w:hAnsi="Times New Roman"/>
          <w:sz w:val="18"/>
          <w:szCs w:val="18"/>
          <w:b w:val="1"/>
          <w:bCs w:val="1"/>
          <w:color w:val="auto"/>
        </w:rPr>
      </w:pPr>
    </w:p>
    <w:p>
      <w:pPr>
        <w:ind w:left="440" w:right="120" w:firstLine="948"/>
        <w:spacing w:after="0" w:line="258" w:lineRule="auto"/>
        <w:tabs>
          <w:tab w:leader="none" w:pos="1677"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(C) and (D) below, each Stock Option and SAR (or portion thereof) held by the Participant or the Participant’s permitted transferees, if any, immediately prior to the cessation of the Participant’s Employment, to the extent then vested and exercisable, will remain exercisable for the lesser of (i) a period of three (3) months following such cessation of Employment or (ii) the period ending on the latest date on which such Stock Option or SAR could have been exercised without regard to this </w:t>
      </w:r>
      <w:r>
        <w:rPr>
          <w:rFonts w:ascii="Times New Roman" w:cs="Times New Roman" w:eastAsia="Times New Roman" w:hAnsi="Times New Roman"/>
          <w:sz w:val="18"/>
          <w:szCs w:val="18"/>
          <w:u w:val="single" w:color="auto"/>
          <w:color w:val="auto"/>
        </w:rPr>
        <w:t>Section 6(a)(4)</w:t>
      </w:r>
      <w:r>
        <w:rPr>
          <w:rFonts w:ascii="Times New Roman" w:cs="Times New Roman" w:eastAsia="Times New Roman" w:hAnsi="Times New Roman"/>
          <w:sz w:val="18"/>
          <w:szCs w:val="18"/>
          <w:color w:val="auto"/>
        </w:rPr>
        <w:t>, and will thereupon immediately terminate.</w:t>
      </w:r>
    </w:p>
    <w:p>
      <w:pPr>
        <w:spacing w:after="0" w:line="75" w:lineRule="exact"/>
        <w:rPr>
          <w:rFonts w:ascii="Times New Roman" w:cs="Times New Roman" w:eastAsia="Times New Roman" w:hAnsi="Times New Roman"/>
          <w:sz w:val="18"/>
          <w:szCs w:val="18"/>
          <w:b w:val="1"/>
          <w:bCs w:val="1"/>
          <w:color w:val="auto"/>
        </w:rPr>
      </w:pPr>
    </w:p>
    <w:p>
      <w:pPr>
        <w:ind w:left="440" w:right="20" w:firstLine="948"/>
        <w:spacing w:after="0" w:line="258" w:lineRule="auto"/>
        <w:tabs>
          <w:tab w:leader="none" w:pos="168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(D) below, each Stock Option and SAR (or portion thereof) held by a Participant or the Participant’s permitted transferees, if any, immediately prior to the cessation of the Participant’s Employment due to his or her death or by the Company due to the Participant’s Disability, to the extent then vested and exercisable, will remain exercisable for the lesser of (i) the one- (1) year period ending on the first anniversary of such cessation of Employment or (ii) the period ending on the latest date on which such Stock Option or SAR could have been exercised without regard to this </w:t>
      </w:r>
      <w:r>
        <w:rPr>
          <w:rFonts w:ascii="Times New Roman" w:cs="Times New Roman" w:eastAsia="Times New Roman" w:hAnsi="Times New Roman"/>
          <w:sz w:val="18"/>
          <w:szCs w:val="18"/>
          <w:u w:val="single" w:color="auto"/>
          <w:color w:val="auto"/>
        </w:rPr>
        <w:t>Section 6(a)(4)</w:t>
      </w:r>
      <w:r>
        <w:rPr>
          <w:rFonts w:ascii="Times New Roman" w:cs="Times New Roman" w:eastAsia="Times New Roman" w:hAnsi="Times New Roman"/>
          <w:sz w:val="18"/>
          <w:szCs w:val="18"/>
          <w:color w:val="auto"/>
        </w:rPr>
        <w:t>, and will thereupon immediately terminate.</w:t>
      </w:r>
    </w:p>
    <w:p>
      <w:pPr>
        <w:spacing w:after="0" w:line="75" w:lineRule="exact"/>
        <w:rPr>
          <w:rFonts w:ascii="Times New Roman" w:cs="Times New Roman" w:eastAsia="Times New Roman" w:hAnsi="Times New Roman"/>
          <w:sz w:val="18"/>
          <w:szCs w:val="18"/>
          <w:b w:val="1"/>
          <w:bCs w:val="1"/>
          <w:color w:val="auto"/>
        </w:rPr>
      </w:pPr>
    </w:p>
    <w:p>
      <w:pPr>
        <w:jc w:val="both"/>
        <w:ind w:left="440" w:right="680" w:firstLine="948"/>
        <w:spacing w:after="0" w:line="258" w:lineRule="auto"/>
        <w:tabs>
          <w:tab w:leader="none" w:pos="168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Awards (whether or not vested or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w:t>
      </w:r>
    </w:p>
    <w:p>
      <w:pPr>
        <w:spacing w:after="0" w:line="179"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4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Compensation</w:t>
      </w:r>
      <w:r>
        <w:rPr>
          <w:rFonts w:ascii="Times New Roman" w:cs="Times New Roman" w:eastAsia="Times New Roman" w:hAnsi="Times New Roman"/>
          <w:sz w:val="18"/>
          <w:szCs w:val="18"/>
          <w:color w:val="auto"/>
        </w:rPr>
        <w:t>. The Administrator may provide in any case that any outstanding Award (whether or not vested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the proceeds from the exercise or disposition of any Award or Stock acquired under any Award, and any other amounts received in respect of any Award or Stock acquired under any Award will be subject to forfeiture and disgorgement to the Company, with interest and other related earnings, if the Participant to whom the Award was granted is not in compliance with any provision of the Plan or any applicable Award, or any non-competition, non-solicitation, no-hire, non-disparagement, confidentiality, invention assignment, or other restrictive covenant by which he or she is bound. Each Award will be subject to any policy of the Company or any of its subsidiaries that relates to trading on non-public information and permitted transactions with respect to shares of Stock, including limitations on hedging and pledging. In addition, each Award will be subject (i) to recoupment to the extent a Participant is or becomes subject to the Company’s Policy for Recoupment of Incentive Compensation, as the same may be amended and in effect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and (ii) to any other policy of the Company or any of its Affiliates that provides for forfeiture, disgorgement, or clawback with respect to incentive compensation that includes Awards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the Plan, including but not limited to the Company’s Discretionary Recoupment Policy, as the same may be amended and in effect from time to time. Each Participant, by accepting (or being deemed to have accepted) an Award under the Plan, agrees (or will be deemed to have agreed) to the terms of this </w:t>
      </w:r>
      <w:r>
        <w:rPr>
          <w:rFonts w:ascii="Times New Roman" w:cs="Times New Roman" w:eastAsia="Times New Roman" w:hAnsi="Times New Roman"/>
          <w:sz w:val="18"/>
          <w:szCs w:val="18"/>
          <w:u w:val="single" w:color="auto"/>
          <w:color w:val="auto"/>
        </w:rPr>
        <w:t>Section 6(a)(5)</w:t>
      </w:r>
      <w:r>
        <w:rPr>
          <w:rFonts w:ascii="Times New Roman" w:cs="Times New Roman" w:eastAsia="Times New Roman" w:hAnsi="Times New Roman"/>
          <w:sz w:val="18"/>
          <w:szCs w:val="18"/>
          <w:color w:val="auto"/>
        </w:rPr>
        <w:t xml:space="preserve">, the Clawback Policy and any other clawback, recoupment or similar policy of the Company or any of its subsidiaries and further agrees (or will be deemed to have further agreed) to cooperate fully with the Administrator, and to cause any and all permitted transferees of the Participant to cooperate fully with the Administrator, to effectuate any forfeiture or disgorgement described in this </w:t>
      </w:r>
      <w:r>
        <w:rPr>
          <w:rFonts w:ascii="Times New Roman" w:cs="Times New Roman" w:eastAsia="Times New Roman" w:hAnsi="Times New Roman"/>
          <w:sz w:val="18"/>
          <w:szCs w:val="18"/>
          <w:u w:val="single" w:color="auto"/>
          <w:color w:val="auto"/>
        </w:rPr>
        <w:t>Section 6(a)(5)</w:t>
      </w:r>
      <w:r>
        <w:rPr>
          <w:rFonts w:ascii="Times New Roman" w:cs="Times New Roman" w:eastAsia="Times New Roman" w:hAnsi="Times New Roman"/>
          <w:sz w:val="18"/>
          <w:szCs w:val="18"/>
          <w:color w:val="auto"/>
        </w:rPr>
        <w:t xml:space="preserve">. Neither the Administrator nor the Company nor any other person, other than the Participant and his or her permitted transferees, if any, will be responsible for any adverse tax or other consequences to a Participant or his or her permitted transferees, if any, that may arise in connection with this </w:t>
      </w:r>
      <w:r>
        <w:rPr>
          <w:rFonts w:ascii="Times New Roman" w:cs="Times New Roman" w:eastAsia="Times New Roman" w:hAnsi="Times New Roman"/>
          <w:sz w:val="18"/>
          <w:szCs w:val="18"/>
          <w:u w:val="single" w:color="auto"/>
          <w:color w:val="auto"/>
        </w:rPr>
        <w:t>Section 6(a)(5)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firstLine="987"/>
        <w:spacing w:after="0" w:line="253" w:lineRule="auto"/>
        <w:tabs>
          <w:tab w:leader="none" w:pos="125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grant of an Award and the issuance, delivery, vesting and retention of Stock, cash or other property under an Award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conditioned upon the full satisfaction by the Participant of all tax and other withholding requirements with respect to the Award. The Administrator will prescribe rules for the withholding of taxes and other amounts with respect to any Award as it deems necessary. Without limitation to the foregoing, the Company or any parent or subsidiary of the Company will have the authority and the right to deduct or withhold (by any means set forth herein or in an Award agreement), or require a Participant to remit to the Company or a parent or subsidiary of the Company, an amount sufficient to satisfy all U.S. and non-U.S. federal, state and local income tax, social insurance, payroll tax, fringe benefits tax, payment on account or other tax-related items related to participation in the Plan and any Award hereunder and legally applicable to the Participant and required by law to be withheld (including, any amount deemed by the Company, in its discretion, to be an appropriate charge to the Participant even if legally applicable to the Company or any parent or subsidiary of the Company). The Administrator, in its sole discretion, may hold back shares of Stock from an Award or permit a Participant to tender previously-owned shares of Stock in satisfaction of tax or other withholding requirements (but not in excess of the maximum withholding amount consistent with the Award being subject to equity accounting treatment under the Accounting Rules) or to sell a sufficient number of shares of Stock otherwise deliverable to the Participant under an Award through such means as the Administrator may determine in its sole discretion (whether through a broker or otherwise) equal to the amount so required to be withheld. Any amounts withheld pursuant to this </w:t>
      </w:r>
      <w:r>
        <w:rPr>
          <w:rFonts w:ascii="Times New Roman" w:cs="Times New Roman" w:eastAsia="Times New Roman" w:hAnsi="Times New Roman"/>
          <w:sz w:val="18"/>
          <w:szCs w:val="18"/>
          <w:u w:val="single" w:color="auto"/>
          <w:color w:val="auto"/>
        </w:rPr>
        <w:t>Section 6(a)(6)</w:t>
      </w:r>
      <w:r>
        <w:rPr>
          <w:rFonts w:ascii="Times New Roman" w:cs="Times New Roman" w:eastAsia="Times New Roman" w:hAnsi="Times New Roman"/>
          <w:sz w:val="18"/>
          <w:szCs w:val="18"/>
          <w:color w:val="auto"/>
        </w:rPr>
        <w:t xml:space="preserve"> will be treated as though such payment had been made directly to the Participant. In addition, the Company may, to the extent permitted by law, deduct any such tax and other withholding amounts from any payment of any kind otherwise due to a Participant from the Company or any parent or subsidiary of the Company.</w:t>
      </w:r>
    </w:p>
    <w:p>
      <w:pPr>
        <w:spacing w:after="0" w:line="183" w:lineRule="exact"/>
        <w:rPr>
          <w:rFonts w:ascii="Times New Roman" w:cs="Times New Roman" w:eastAsia="Times New Roman" w:hAnsi="Times New Roman"/>
          <w:sz w:val="18"/>
          <w:szCs w:val="18"/>
          <w:b w:val="1"/>
          <w:bCs w:val="1"/>
          <w:color w:val="auto"/>
        </w:rPr>
      </w:pPr>
    </w:p>
    <w:p>
      <w:pPr>
        <w:ind w:left="4" w:right="200" w:firstLine="987"/>
        <w:spacing w:after="0" w:line="259" w:lineRule="auto"/>
        <w:tabs>
          <w:tab w:leader="none" w:pos="125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The Administrator may provide for the payment of amounts (on terms and subject to such restrictions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established by the Administrator) in lieu of cash dividends or other cash distributions with respect to Stock subject to an Award whether or not the holder of such Award is otherwise entitled to share in the actual dividend or distribution in respect of such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ind w:left="4" w:right="80" w:hanging="4"/>
        <w:spacing w:after="0" w:line="253"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dividend equivalents relating to an Award that, at the dividend payment date, remains subject to a risk of forfeiture (whether service-based or performance-based) shall be subject to the same risk of forfeiture as applies to the underlying Award, and (ii) no dividends or dividend equivalents shall be payable with respect to Stock Options or SARs. Any entitlement to dividend equivalents or similar entitlements will be established and administered either consistent with an exemption from, or in compliance with, the applicable requirements of Section 409A.</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9" w:name="page10"/>
    <w:bookmarkEnd w:id="9"/>
    <w:p>
      <w:pPr>
        <w:ind w:left="-20" w:right="80" w:firstLine="987"/>
        <w:spacing w:after="0" w:line="259" w:lineRule="auto"/>
        <w:tabs>
          <w:tab w:leader="none" w:pos="122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Limited</w:t>
      </w:r>
      <w:r>
        <w:rPr>
          <w:rFonts w:ascii="Times New Roman" w:cs="Times New Roman" w:eastAsia="Times New Roman" w:hAnsi="Times New Roman"/>
          <w:sz w:val="18"/>
          <w:szCs w:val="18"/>
          <w:color w:val="auto"/>
        </w:rPr>
        <w:t>. Nothing in the Plan or any Award will be construed as giving any person the right to be granted an Award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employment or service with the Company or any of its subsidiaries, or any rights as a stockholder except as to shares of Stock actually delivered under the Plan. The loss of existing or potential profit in any Award will not constitute an element of damages in the event of a termination of a Participant’s Employment for any reason, even if the termination is in violation of an obligation of the Company or any of its subsidiaries to the Participant.</w:t>
      </w:r>
    </w:p>
    <w:p>
      <w:pPr>
        <w:spacing w:after="0" w:line="179" w:lineRule="exact"/>
        <w:rPr>
          <w:rFonts w:ascii="Times New Roman" w:cs="Times New Roman" w:eastAsia="Times New Roman" w:hAnsi="Times New Roman"/>
          <w:sz w:val="18"/>
          <w:szCs w:val="18"/>
          <w:b w:val="1"/>
          <w:bCs w:val="1"/>
          <w:color w:val="auto"/>
        </w:rPr>
      </w:pPr>
    </w:p>
    <w:p>
      <w:pPr>
        <w:ind w:left="-20" w:firstLine="987"/>
        <w:spacing w:after="0" w:line="257" w:lineRule="auto"/>
        <w:tabs>
          <w:tab w:leader="none" w:pos="122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Coordination with Other Plans</w:t>
      </w:r>
      <w:r>
        <w:rPr>
          <w:rFonts w:ascii="Times New Roman" w:cs="Times New Roman" w:eastAsia="Times New Roman" w:hAnsi="Times New Roman"/>
          <w:sz w:val="18"/>
          <w:szCs w:val="18"/>
          <w:color w:val="auto"/>
        </w:rPr>
        <w:t>. Shares of Stock and/or Awards under the Plan may be granted in tandem with, or in satisfaction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substitution for, other Awards under the Plan or awards made under other compensatory plans or programs of the Company or any of its subsidiaries. For example, but without limiting the generality of the foregoing, awards under other compensatory plans or programs of the Company or any of its subsidiaries may be settled in Stock (including, without limitation, Unrestricted Stock) under the Plan if the Administrator so determines, in which case the shares delivered will be treated as awarded under the Plan (and will reduce the number of shares thereafter available for delivery under the Plan in accordance with the rules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20" w:right="100" w:firstLine="987"/>
        <w:spacing w:after="0" w:line="255" w:lineRule="auto"/>
        <w:tabs>
          <w:tab w:leader="none" w:pos="131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Minimum Vesting Requirements. </w:t>
      </w:r>
      <w:r>
        <w:rPr>
          <w:rFonts w:ascii="Times New Roman" w:cs="Times New Roman" w:eastAsia="Times New Roman" w:hAnsi="Times New Roman"/>
          <w:sz w:val="18"/>
          <w:szCs w:val="18"/>
          <w:color w:val="auto"/>
        </w:rPr>
        <w:t>Notwithstanding any other provision of the Plan to the contrary, Awards granted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have time- or performance-based vesting schedules that provide for vesting earlier than the first anniversary of the date on which the Award is granted; provided, that the following Awards shall not be subject to the foregoing minimum vesting requirement: any (i) Substitute Awards, (ii) Awards delivered in lieu of fully vested cash obligations, (iii) Awards to Directors that vest on earlier of the one-year anniversary of the date of grant and the next annual meeting of stockholders which is at least 50 weeks after the immediately preceding year’s annual meeting, and (iv) any additional Awards the Administrator may grant, up to a maximum of five percent (5%) of the Share Pool; and, provided, further, that the foregoing restriction does not apply to the Administrator’s discretion to provide for accelerated exercisability or vesting of any Award, including in cases of death, Disability, retirement or termination of employment, or a Covered Transaction, in the terms of the Award agreement or otherwise.</w:t>
      </w:r>
    </w:p>
    <w:p>
      <w:pPr>
        <w:spacing w:after="0" w:line="184" w:lineRule="exact"/>
        <w:rPr>
          <w:rFonts w:ascii="Times New Roman" w:cs="Times New Roman" w:eastAsia="Times New Roman" w:hAnsi="Times New Roman"/>
          <w:sz w:val="18"/>
          <w:szCs w:val="18"/>
          <w:b w:val="1"/>
          <w:bCs w:val="1"/>
          <w:color w:val="auto"/>
        </w:rPr>
      </w:pPr>
    </w:p>
    <w:p>
      <w:pPr>
        <w:ind w:left="1300" w:hanging="333"/>
        <w:spacing w:after="0"/>
        <w:tabs>
          <w:tab w:leader="none" w:pos="13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p>
    <w:p>
      <w:pPr>
        <w:spacing w:after="0" w:line="229" w:lineRule="exact"/>
        <w:rPr>
          <w:rFonts w:ascii="Times New Roman" w:cs="Times New Roman" w:eastAsia="Times New Roman" w:hAnsi="Times New Roman"/>
          <w:sz w:val="18"/>
          <w:szCs w:val="18"/>
          <w:b w:val="1"/>
          <w:bCs w:val="1"/>
          <w:color w:val="auto"/>
        </w:rPr>
      </w:pPr>
    </w:p>
    <w:p>
      <w:pPr>
        <w:jc w:val="both"/>
        <w:ind w:left="420" w:right="60" w:firstLine="948"/>
        <w:spacing w:after="0" w:line="266" w:lineRule="auto"/>
        <w:tabs>
          <w:tab w:leader="none" w:pos="1666"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hereof, each Award will contain such terms as the Administrator determines and will be construed and administered such that the Award either qualifies for an exemption from the requirements of Section 409A or satisfies such requirements.</w:t>
      </w:r>
    </w:p>
    <w:p>
      <w:pPr>
        <w:spacing w:after="0" w:line="67" w:lineRule="exact"/>
        <w:rPr>
          <w:rFonts w:ascii="Times New Roman" w:cs="Times New Roman" w:eastAsia="Times New Roman" w:hAnsi="Times New Roman"/>
          <w:sz w:val="18"/>
          <w:szCs w:val="18"/>
          <w:b w:val="1"/>
          <w:bCs w:val="1"/>
          <w:color w:val="auto"/>
        </w:rPr>
      </w:pPr>
    </w:p>
    <w:p>
      <w:pPr>
        <w:ind w:left="420" w:firstLine="948"/>
        <w:spacing w:after="0" w:line="261" w:lineRule="auto"/>
        <w:tabs>
          <w:tab w:leader="none" w:pos="165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the Plan or any Award agreement, the Administrator may unilaterally amend, modify or terminate the Plan or any outstanding Award, including, without limitation, changing the form of the Award, if the Administrator determines that such amendment, modification or termination is necessary or desirable to avoid the imposition of an additional tax, interest or penalty under Section 409A.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66" w:right="479" w:bottom="1440" w:gutter="0" w:footer="0" w:header="0"/>
        </w:sectPr>
      </w:pPr>
    </w:p>
    <w:bookmarkStart w:id="10" w:name="page11"/>
    <w:bookmarkEnd w:id="10"/>
    <w:p>
      <w:pPr>
        <w:ind w:left="420" w:right="40" w:firstLine="948"/>
        <w:spacing w:after="0" w:line="254" w:lineRule="auto"/>
        <w:tabs>
          <w:tab w:leader="none" w:pos="1666"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Participant is determined on the date of the Participant’s termination of Employment to be a “specified employee” within the meaning of that term under Section 409A(a)(2)(B) of the Code, then, with regard to any payment that is considered nonqualified deferred compensation under Section 409A, to the extent applicable, payable on account of a “separation from service”, such payment will be made or provided on the date that is the earlier of (i) the first business day following the expiration of the six- (6) month period measured from the date of such “separation from service” and (ii) the date of the Participant’s death (the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xml:space="preserve">”). Upon the expiration of the Delay Period, all payments delayed pursuant to this </w:t>
      </w:r>
      <w:r>
        <w:rPr>
          <w:rFonts w:ascii="Times New Roman" w:cs="Times New Roman" w:eastAsia="Times New Roman" w:hAnsi="Times New Roman"/>
          <w:sz w:val="18"/>
          <w:szCs w:val="18"/>
          <w:u w:val="single" w:color="auto"/>
          <w:color w:val="auto"/>
        </w:rPr>
        <w:t>Section 6(a)(10)(C)</w:t>
      </w:r>
      <w:r>
        <w:rPr>
          <w:rFonts w:ascii="Times New Roman" w:cs="Times New Roman" w:eastAsia="Times New Roman" w:hAnsi="Times New Roman"/>
          <w:sz w:val="18"/>
          <w:szCs w:val="18"/>
          <w:color w:val="auto"/>
        </w:rPr>
        <w:t xml:space="preserve"> (whether they would have otherwise been payable in a single lump sum or in installments in the absence of such delay) will be paid, without interest,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80" w:lineRule="exact"/>
        <w:rPr>
          <w:rFonts w:ascii="Times New Roman" w:cs="Times New Roman" w:eastAsia="Times New Roman" w:hAnsi="Times New Roman"/>
          <w:sz w:val="18"/>
          <w:szCs w:val="18"/>
          <w:b w:val="1"/>
          <w:bCs w:val="1"/>
          <w:color w:val="auto"/>
        </w:rPr>
      </w:pPr>
    </w:p>
    <w:p>
      <w:pPr>
        <w:ind w:left="1660" w:hanging="292"/>
        <w:spacing w:after="0"/>
        <w:tabs>
          <w:tab w:leader="none" w:pos="166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 409A, each payment made under the Plan or any Award will be treated as a separate payment.</w:t>
      </w:r>
    </w:p>
    <w:p>
      <w:pPr>
        <w:spacing w:after="0" w:line="117" w:lineRule="exact"/>
        <w:rPr>
          <w:rFonts w:ascii="Times New Roman" w:cs="Times New Roman" w:eastAsia="Times New Roman" w:hAnsi="Times New Roman"/>
          <w:sz w:val="18"/>
          <w:szCs w:val="18"/>
          <w:b w:val="1"/>
          <w:bCs w:val="1"/>
          <w:color w:val="auto"/>
        </w:rPr>
      </w:pPr>
    </w:p>
    <w:p>
      <w:pPr>
        <w:ind w:left="420" w:firstLine="948"/>
        <w:spacing w:after="0" w:line="261" w:lineRule="auto"/>
        <w:tabs>
          <w:tab w:leader="none" w:pos="1657"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regard to any payment considered to be nonqualified deferred compensation under Section 409A, to the extent applicable, that is payable upon a change in control of the Company or other similar event, to the extent required to avoid the imposition of an additional tax, interest or penalty under Section 409A, no amount will be payable unless such change in control constitutes a “change in control event” within the meaning of Section 1.409A-3(i)(5) of the Treasury Regulations.</w:t>
      </w:r>
    </w:p>
    <w:p>
      <w:pPr>
        <w:spacing w:after="0" w:line="175"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Options and SARs</w:t>
      </w:r>
    </w:p>
    <w:p>
      <w:pPr>
        <w:spacing w:after="0" w:line="225" w:lineRule="exact"/>
        <w:rPr>
          <w:rFonts w:ascii="Times New Roman" w:cs="Times New Roman" w:eastAsia="Times New Roman" w:hAnsi="Times New Roman"/>
          <w:sz w:val="18"/>
          <w:szCs w:val="18"/>
          <w:b w:val="1"/>
          <w:bCs w:val="1"/>
          <w:color w:val="auto"/>
        </w:rPr>
      </w:pPr>
    </w:p>
    <w:p>
      <w:pPr>
        <w:ind w:left="-20" w:right="140" w:firstLine="987"/>
        <w:spacing w:after="0" w:line="257" w:lineRule="auto"/>
        <w:tabs>
          <w:tab w:leader="none" w:pos="122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and Manner of Exercise</w:t>
      </w:r>
      <w:r>
        <w:rPr>
          <w:rFonts w:ascii="Times New Roman" w:cs="Times New Roman" w:eastAsia="Times New Roman" w:hAnsi="Times New Roman"/>
          <w:sz w:val="18"/>
          <w:szCs w:val="18"/>
          <w:color w:val="auto"/>
        </w:rPr>
        <w:t>. Unless the Administrator expressly provides otherwise, no Stock Option or SAR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exercised until the Administrator receives a notice of exercise in a form acceptable to the Administrator that is signed by the appropriate person and accompanied by any payment required under the Award. The Administrator may limit or restrict the exercisability of any Stock Option or SAR in its discretion, including in connection with any Covered Transaction. Any attempt to exercise a Stock Option or SAR by any person other than the Participant will not be given effect unless the Administrator has received such evidence as it may require that the person exercising the Award has the right to do so.</w:t>
      </w:r>
    </w:p>
    <w:p>
      <w:pPr>
        <w:spacing w:after="0" w:line="182" w:lineRule="exact"/>
        <w:rPr>
          <w:rFonts w:ascii="Times New Roman" w:cs="Times New Roman" w:eastAsia="Times New Roman" w:hAnsi="Times New Roman"/>
          <w:sz w:val="18"/>
          <w:szCs w:val="18"/>
          <w:b w:val="1"/>
          <w:bCs w:val="1"/>
          <w:color w:val="auto"/>
        </w:rPr>
      </w:pPr>
    </w:p>
    <w:p>
      <w:pPr>
        <w:ind w:left="-20" w:right="180" w:firstLine="987"/>
        <w:spacing w:after="0" w:line="257" w:lineRule="auto"/>
        <w:tabs>
          <w:tab w:leader="none" w:pos="122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exercise price (or the base value from which appreciation is to be measured) per share of each Award requiring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must be no less than one hundred percent (100%) (in the case of an ISO granted to a ten percent (10%) stockholder within the meaning of Section 422(b)(6) of the Code, one hundred ten percent (110%)) of the Fair Market Value of a share of Stock, determined as of the date of grant of the Award, or such higher amount as the Administrator may determine in connection with the grant. Notwithstanding the foregoing, a Stock Option or an SAR may be granted with an exercise price lower than 100% of the Fair Market Value of a share of Stock if such Stock Option or SAR is a Substitute Award and is granted in a manner consistent with the provisions of Section 409A and, if applicable, Section 424(a) of the Code.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1" w:name="page12"/>
    <w:bookmarkEnd w:id="11"/>
    <w:p>
      <w:pPr>
        <w:ind w:left="4" w:right="280" w:firstLine="987"/>
        <w:spacing w:after="0" w:line="263" w:lineRule="auto"/>
        <w:tabs>
          <w:tab w:leader="none" w:pos="125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Exercise Price</w:t>
      </w:r>
      <w:r>
        <w:rPr>
          <w:rFonts w:ascii="Times New Roman" w:cs="Times New Roman" w:eastAsia="Times New Roman" w:hAnsi="Times New Roman"/>
          <w:sz w:val="18"/>
          <w:szCs w:val="18"/>
          <w:color w:val="auto"/>
        </w:rPr>
        <w:t>. Where the exercise of an Award (or portion thereof) is to be accompanied by payment,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must be made by cash or check acceptable to the Administrator or, if so permitted by the Administrator and if legally permissible,</w:t>
      </w:r>
    </w:p>
    <w:p>
      <w:pPr>
        <w:ind w:left="4" w:right="140" w:hanging="4"/>
        <w:spacing w:after="0" w:line="253"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of previously acquired unrestricted shares of Stock, or the withholding of unrestricted shares of Stock otherwise deliverable upon exercise, in either case that have a Fair Market Value equal to the exercise price; (ii) through a broker-assisted cashless exercise program acceptable to the Administrator; (iii) by other means acceptable to the Administrator; or (iv)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spacing w:after="0" w:line="18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Maximum Term</w:t>
      </w:r>
      <w:r>
        <w:rPr>
          <w:rFonts w:ascii="Times New Roman" w:cs="Times New Roman" w:eastAsia="Times New Roman" w:hAnsi="Times New Roman"/>
          <w:sz w:val="18"/>
          <w:szCs w:val="18"/>
          <w:color w:val="auto"/>
        </w:rPr>
        <w:t>. The maximum term of Stock Options and SARs must not exceed ten (10) years from the date of grant (or five</w:t>
      </w:r>
    </w:p>
    <w:p>
      <w:pPr>
        <w:spacing w:after="0" w:line="31" w:lineRule="exact"/>
        <w:rPr>
          <w:sz w:val="20"/>
          <w:szCs w:val="20"/>
          <w:color w:val="auto"/>
        </w:rPr>
      </w:pPr>
    </w:p>
    <w:p>
      <w:pPr>
        <w:ind w:left="264" w:hanging="264"/>
        <w:spacing w:after="0"/>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from the date of grant in the case of an ISO granted to a ten percent (10%) stockholder described in </w:t>
      </w:r>
      <w:r>
        <w:rPr>
          <w:rFonts w:ascii="Times New Roman" w:cs="Times New Roman" w:eastAsia="Times New Roman" w:hAnsi="Times New Roman"/>
          <w:sz w:val="18"/>
          <w:szCs w:val="18"/>
          <w:u w:val="single" w:color="auto"/>
          <w:color w:val="auto"/>
        </w:rPr>
        <w:t>Section 6(b)(2)</w:t>
      </w:r>
      <w:r>
        <w:rPr>
          <w:rFonts w:ascii="Times New Roman" w:cs="Times New Roman" w:eastAsia="Times New Roman" w:hAnsi="Times New Roman"/>
          <w:sz w:val="18"/>
          <w:szCs w:val="18"/>
          <w:color w:val="auto"/>
        </w:rPr>
        <w:t xml:space="preserve"> above).</w:t>
      </w:r>
    </w:p>
    <w:p>
      <w:pPr>
        <w:spacing w:after="0" w:line="202"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Repricing</w:t>
      </w:r>
      <w:r>
        <w:rPr>
          <w:rFonts w:ascii="Times New Roman" w:cs="Times New Roman" w:eastAsia="Times New Roman" w:hAnsi="Times New Roman"/>
          <w:sz w:val="18"/>
          <w:szCs w:val="18"/>
          <w:color w:val="auto"/>
        </w:rPr>
        <w:t>. Except in connection with a corporate transaction involving the Company (which term includes, without limitation,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dividend, stock split, extraordinary cash dividend, recapitalization, reorganization, merger, consolidation, split-up, spin-off, combination or exchange of shares) or as otherwise contemplated by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Company may not, without obtaining stockholder approval, (i) amend the terms of outstanding Stock Options or SARs to reduce the exercise price or base value of such Stock Options or SARs; (ii) cancel outstanding Stock Options or SARs in exchange for Stock Options or SARs that have an exercise price or base value that is less than the exercise price or base value of the original Stock Options or SARs; or (iii) cancel outstanding Stock Options or SARs that have an exercise price or base value greater than the Fair Market Value of a share of Stock on the date of such cancellation in exchange for cash or other consideration.</w:t>
      </w:r>
    </w:p>
    <w:p>
      <w:pPr>
        <w:spacing w:after="0" w:line="291" w:lineRule="exact"/>
        <w:rPr>
          <w:sz w:val="20"/>
          <w:szCs w:val="20"/>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CERTAIN TRANSACTIONS</w:t>
      </w:r>
    </w:p>
    <w:p>
      <w:pPr>
        <w:spacing w:after="0" w:line="117"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69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Mergers, etc</w:t>
      </w:r>
      <w:r>
        <w:rPr>
          <w:rFonts w:ascii="Times New Roman" w:cs="Times New Roman" w:eastAsia="Times New Roman" w:hAnsi="Times New Roman"/>
          <w:sz w:val="18"/>
          <w:szCs w:val="18"/>
          <w:color w:val="auto"/>
        </w:rPr>
        <w:t>. Except as otherwise expressly provided in an Award agreement or other agreement or by the Administrator,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will apply in the event of a Covered Transaction:</w:t>
      </w:r>
    </w:p>
    <w:p>
      <w:pPr>
        <w:spacing w:after="0" w:line="46" w:lineRule="exact"/>
        <w:rPr>
          <w:rFonts w:ascii="Times New Roman" w:cs="Times New Roman" w:eastAsia="Times New Roman" w:hAnsi="Times New Roman"/>
          <w:sz w:val="18"/>
          <w:szCs w:val="18"/>
          <w:b w:val="1"/>
          <w:bCs w:val="1"/>
          <w:color w:val="auto"/>
        </w:rPr>
      </w:pPr>
    </w:p>
    <w:p>
      <w:pPr>
        <w:ind w:left="4" w:right="240" w:firstLine="987"/>
        <w:spacing w:after="0" w:line="268" w:lineRule="auto"/>
        <w:tabs>
          <w:tab w:leader="none" w:pos="125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 or Substitution</w:t>
      </w:r>
      <w:r>
        <w:rPr>
          <w:rFonts w:ascii="Times New Roman" w:cs="Times New Roman" w:eastAsia="Times New Roman" w:hAnsi="Times New Roman"/>
          <w:sz w:val="18"/>
          <w:szCs w:val="18"/>
          <w:color w:val="auto"/>
        </w:rPr>
        <w:t>. If the Covered Transaction is one in which there is an acquiring or surviving entity,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provide for (i) the assumption or continuation of some or all outstanding Awards or any portion thereof; or (ii) the grant of new awards in substitution therefor by the acquiror or survivor or an affiliate of the acquiror or survivor.</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12" w:name="page13"/>
    <w:bookmarkEnd w:id="12"/>
    <w:p>
      <w:pPr>
        <w:ind w:left="4" w:right="160" w:firstLine="987"/>
        <w:spacing w:after="0" w:line="278" w:lineRule="auto"/>
        <w:tabs>
          <w:tab w:leader="none" w:pos="1250" w:val="left"/>
        </w:tabs>
        <w:numPr>
          <w:ilvl w:val="1"/>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Cash-Out of Awards</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7(a)(5)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below, the Administrator may provide for payment (a “</w:t>
      </w:r>
      <w:r>
        <w:rPr>
          <w:rFonts w:ascii="Times New Roman" w:cs="Times New Roman" w:eastAsia="Times New Roman" w:hAnsi="Times New Roman"/>
          <w:sz w:val="17"/>
          <w:szCs w:val="17"/>
          <w:u w:val="single" w:color="auto"/>
          <w:color w:val="auto"/>
        </w:rPr>
        <w:t>cash-out</w:t>
      </w:r>
      <w:r>
        <w:rPr>
          <w:rFonts w:ascii="Times New Roman" w:cs="Times New Roman" w:eastAsia="Times New Roman" w:hAnsi="Times New Roman"/>
          <w:sz w:val="17"/>
          <w:szCs w:val="17"/>
          <w:color w:val="auto"/>
        </w:rPr>
        <w:t>”), with respect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some or all Awards or any portion thereof (including only the vested portion thereof, with the unvested portion terminating as provided in </w:t>
      </w:r>
      <w:r>
        <w:rPr>
          <w:rFonts w:ascii="Times New Roman" w:cs="Times New Roman" w:eastAsia="Times New Roman" w:hAnsi="Times New Roman"/>
          <w:sz w:val="17"/>
          <w:szCs w:val="17"/>
          <w:u w:val="single" w:color="auto"/>
          <w:color w:val="auto"/>
        </w:rPr>
        <w:t>Section 7(a)</w:t>
      </w:r>
    </w:p>
    <w:p>
      <w:pPr>
        <w:spacing w:after="0" w:line="1" w:lineRule="exact"/>
        <w:rPr>
          <w:rFonts w:ascii="Times New Roman" w:cs="Times New Roman" w:eastAsia="Times New Roman" w:hAnsi="Times New Roman"/>
          <w:sz w:val="17"/>
          <w:szCs w:val="17"/>
          <w:b w:val="1"/>
          <w:bCs w:val="1"/>
          <w:color w:val="auto"/>
        </w:rPr>
      </w:pPr>
    </w:p>
    <w:p>
      <w:pPr>
        <w:ind w:left="4" w:right="40" w:hanging="4"/>
        <w:spacing w:after="0" w:line="268" w:lineRule="auto"/>
        <w:tabs>
          <w:tab w:leader="none" w:pos="259" w:val="left"/>
        </w:tabs>
        <w:numPr>
          <w:ilvl w:val="0"/>
          <w:numId w:val="1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below), equal in the case of each applicable Award or portion thereof to the excess, if any, of (i) the Fair Market Value of one (1) share of Stock </w:t>
      </w:r>
      <w:r>
        <w:rPr>
          <w:rFonts w:ascii="Times New Roman" w:cs="Times New Roman" w:eastAsia="Times New Roman" w:hAnsi="Times New Roman"/>
          <w:sz w:val="17"/>
          <w:szCs w:val="17"/>
          <w:i w:val="1"/>
          <w:iCs w:val="1"/>
          <w:color w:val="auto"/>
        </w:rPr>
        <w:t xml:space="preserve">multiplied by </w:t>
      </w:r>
      <w:r>
        <w:rPr>
          <w:rFonts w:ascii="Times New Roman" w:cs="Times New Roman" w:eastAsia="Times New Roman" w:hAnsi="Times New Roman"/>
          <w:sz w:val="17"/>
          <w:szCs w:val="17"/>
          <w:color w:val="auto"/>
        </w:rPr>
        <w:t>the number of shares of Stock subject to the Award or such portion,</w:t>
      </w:r>
      <w:r>
        <w:rPr>
          <w:rFonts w:ascii="Times New Roman" w:cs="Times New Roman" w:eastAsia="Times New Roman" w:hAnsi="Times New Roman"/>
          <w:sz w:val="17"/>
          <w:szCs w:val="17"/>
          <w:i w:val="1"/>
          <w:iCs w:val="1"/>
          <w:color w:val="auto"/>
        </w:rPr>
        <w:t xml:space="preserve"> minus </w:t>
      </w:r>
      <w:r>
        <w:rPr>
          <w:rFonts w:ascii="Times New Roman" w:cs="Times New Roman" w:eastAsia="Times New Roman" w:hAnsi="Times New Roman"/>
          <w:sz w:val="17"/>
          <w:szCs w:val="17"/>
          <w:color w:val="auto"/>
        </w:rPr>
        <w:t>(ii) the aggregate exercise or purchase price, if any,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or such portion thereof (or, in the case of a SAR, the aggregate base value above which appreciation is measured), in each case, on such payment and other terms and subject to such conditions (which need not be the same as the terms and conditions applicable to holders of Stock generally) as the Administrator determines, including that any amounts paid in respect of such Award in connection with the Covered Transaction be placed in escrow or otherwise made subject to such restrictions as the Administrator deems appropriate. For the avoidance of doubt, if the per-share exercise or purchase price (or base value) of an Award or portion thereof is equal to or greater than the fair market value of one (1) share of Stock, as determined in connection with the Covered Transaction, such Award or portion may be cancelled with no payment due hereunder or otherwise in respect thereof.</w:t>
      </w:r>
    </w:p>
    <w:p>
      <w:pPr>
        <w:spacing w:after="0" w:line="175" w:lineRule="exact"/>
        <w:rPr>
          <w:rFonts w:ascii="Times New Roman" w:cs="Times New Roman" w:eastAsia="Times New Roman" w:hAnsi="Times New Roman"/>
          <w:sz w:val="17"/>
          <w:szCs w:val="17"/>
          <w:u w:val="single" w:color="auto"/>
          <w:color w:val="auto"/>
        </w:rPr>
      </w:pPr>
    </w:p>
    <w:p>
      <w:pPr>
        <w:ind w:left="4" w:right="80" w:firstLine="987"/>
        <w:spacing w:after="0" w:line="259" w:lineRule="auto"/>
        <w:tabs>
          <w:tab w:leader="none" w:pos="125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Acceleration of Certain Awards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7(a)(5)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Administrator may provide that any Award requiring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the exercise of the Award or the delivery of the shares, as the case may be, to participate as a stockholder in the Covered Transaction.</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5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Awards upon Consummation of Covered Transaction</w:t>
      </w:r>
      <w:r>
        <w:rPr>
          <w:rFonts w:ascii="Times New Roman" w:cs="Times New Roman" w:eastAsia="Times New Roman" w:hAnsi="Times New Roman"/>
          <w:sz w:val="18"/>
          <w:szCs w:val="18"/>
          <w:color w:val="auto"/>
        </w:rPr>
        <w:t>. Except as the Administrator may otherwise determine,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will automatically terminate (and in the case of outstanding shares of Restricted Stock, will automatically be forfeited) immediately upon the consummation of the Covered Transaction; provided, however, that unless the Administrator provides for the assumption, continuation or substitution of Awards pursuant to Section 7(a)(1) above, all outstanding Awards shall become immediately and fully exercisable, any applicable vesting conditions shall be deemed satisfied, with any performance vesting conditions deemed to be satisfied at one hundred percent (100%) of target levels, and any forfeiture restrictions shall be deemed to have lapsed, in each case as of immediately prior to the consummation of the Covered Transaction.</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72" w:lineRule="auto"/>
        <w:tabs>
          <w:tab w:leader="none" w:pos="1250" w:val="left"/>
        </w:tabs>
        <w:numPr>
          <w:ilvl w:val="1"/>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Additional Limitations. </w:t>
      </w:r>
      <w:r>
        <w:rPr>
          <w:rFonts w:ascii="Times New Roman" w:cs="Times New Roman" w:eastAsia="Times New Roman" w:hAnsi="Times New Roman"/>
          <w:sz w:val="17"/>
          <w:szCs w:val="17"/>
          <w:color w:val="auto"/>
        </w:rPr>
        <w:t>Any share of Stock and any cash or other property or other award delivered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7(a)(1)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7(a)(2)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7(a)(3)</w:t>
      </w:r>
      <w:r>
        <w:rPr>
          <w:rFonts w:ascii="Times New Roman" w:cs="Times New Roman" w:eastAsia="Times New Roman" w:hAnsi="Times New Roman"/>
          <w:sz w:val="17"/>
          <w:szCs w:val="17"/>
          <w:color w:val="auto"/>
        </w:rPr>
        <w:t xml:space="preserve"> above with respect to an Award may, in the discretion of the Administrator, contain such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w:t>
      </w:r>
      <w:r>
        <w:rPr>
          <w:rFonts w:ascii="Times New Roman" w:cs="Times New Roman" w:eastAsia="Times New Roman" w:hAnsi="Times New Roman"/>
          <w:sz w:val="17"/>
          <w:szCs w:val="17"/>
          <w:u w:val="single" w:color="auto"/>
          <w:color w:val="auto"/>
        </w:rPr>
        <w:t>Section 7(a)</w:t>
      </w:r>
    </w:p>
    <w:p>
      <w:pPr>
        <w:ind w:left="4" w:right="120" w:hanging="4"/>
        <w:spacing w:after="0" w:line="253" w:lineRule="auto"/>
        <w:tabs>
          <w:tab w:leader="none" w:pos="259"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or an acceleration under </w:t>
      </w:r>
      <w:r>
        <w:rPr>
          <w:rFonts w:ascii="Times New Roman" w:cs="Times New Roman" w:eastAsia="Times New Roman" w:hAnsi="Times New Roman"/>
          <w:sz w:val="18"/>
          <w:szCs w:val="18"/>
          <w:u w:val="single" w:color="auto"/>
          <w:color w:val="auto"/>
        </w:rPr>
        <w:t>Section 7(a)(3)</w:t>
      </w:r>
      <w:r>
        <w:rPr>
          <w:rFonts w:ascii="Times New Roman" w:cs="Times New Roman" w:eastAsia="Times New Roman" w:hAnsi="Times New Roman"/>
          <w:sz w:val="18"/>
          <w:szCs w:val="18"/>
          <w:color w:val="auto"/>
        </w:rPr>
        <w:t xml:space="preserve">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13" w:name="page14"/>
    <w:bookmarkEnd w:id="13"/>
    <w:p>
      <w:pPr>
        <w:ind w:left="4" w:right="260" w:firstLine="987"/>
        <w:spacing w:after="0" w:line="286" w:lineRule="auto"/>
        <w:tabs>
          <w:tab w:leader="none" w:pos="125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Uniform Treatment</w:t>
      </w:r>
      <w:r>
        <w:rPr>
          <w:rFonts w:ascii="Times New Roman" w:cs="Times New Roman" w:eastAsia="Times New Roman" w:hAnsi="Times New Roman"/>
          <w:sz w:val="18"/>
          <w:szCs w:val="18"/>
          <w:color w:val="auto"/>
        </w:rPr>
        <w:t>. For the avoidance of doubt, the Administrator need not treat Participants or Awards (or portions thereof)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uniform manner, and may treat different Participants and/or Awards differently, in connection with a Covered Transaction.</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and Distributions with Respect to Stock</w:t>
      </w:r>
    </w:p>
    <w:p>
      <w:pPr>
        <w:spacing w:after="0" w:line="225" w:lineRule="exact"/>
        <w:rPr>
          <w:rFonts w:ascii="Times New Roman" w:cs="Times New Roman" w:eastAsia="Times New Roman" w:hAnsi="Times New Roman"/>
          <w:sz w:val="18"/>
          <w:szCs w:val="18"/>
          <w:b w:val="1"/>
          <w:bCs w:val="1"/>
          <w:color w:val="auto"/>
        </w:rPr>
      </w:pPr>
    </w:p>
    <w:p>
      <w:pPr>
        <w:ind w:left="4" w:right="60" w:firstLine="987"/>
        <w:spacing w:after="0" w:line="278" w:lineRule="auto"/>
        <w:tabs>
          <w:tab w:leader="none" w:pos="1250" w:val="left"/>
        </w:tabs>
        <w:numPr>
          <w:ilvl w:val="2"/>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Basic Adjustment Provisions</w:t>
      </w:r>
      <w:r>
        <w:rPr>
          <w:rFonts w:ascii="Times New Roman" w:cs="Times New Roman" w:eastAsia="Times New Roman" w:hAnsi="Times New Roman"/>
          <w:sz w:val="17"/>
          <w:szCs w:val="17"/>
          <w:color w:val="auto"/>
        </w:rPr>
        <w:t>. In the event of a stock dividend, stock split or combination of shares (including a reverse stock split),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recapitalization or other change in the Company’s capital structure that constitutes an equity restructuring within the meaning of the Accounting Rules, the Administrator shall make appropriate adjustments to the maximum number of shares of Stock specified in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that may be delivered under the Plan, and shall make appropriate adjustments to the number and kind of shares of stock or securities underlying Awards then outstanding or subsequently granted, any exercise or purchase prices (or base values) relating to Awards and any other provision of Awards affected by such change.</w:t>
      </w:r>
    </w:p>
    <w:p>
      <w:pPr>
        <w:spacing w:after="0" w:line="163" w:lineRule="exact"/>
        <w:rPr>
          <w:rFonts w:ascii="Times New Roman" w:cs="Times New Roman" w:eastAsia="Times New Roman" w:hAnsi="Times New Roman"/>
          <w:sz w:val="17"/>
          <w:szCs w:val="17"/>
          <w:b w:val="1"/>
          <w:bCs w:val="1"/>
          <w:color w:val="auto"/>
        </w:rPr>
      </w:pPr>
    </w:p>
    <w:p>
      <w:pPr>
        <w:ind w:left="4" w:right="40" w:firstLine="987"/>
        <w:spacing w:after="0" w:line="268" w:lineRule="auto"/>
        <w:tabs>
          <w:tab w:leader="none" w:pos="125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Other Adjustments</w:t>
      </w:r>
      <w:r>
        <w:rPr>
          <w:rFonts w:ascii="Times New Roman" w:cs="Times New Roman" w:eastAsia="Times New Roman" w:hAnsi="Times New Roman"/>
          <w:sz w:val="18"/>
          <w:szCs w:val="18"/>
          <w:color w:val="auto"/>
        </w:rPr>
        <w:t>. The Administrator may also make adjustments of the type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7(b)(1)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account distributions to stockholders other than those provided for in </w:t>
      </w:r>
      <w:r>
        <w:rPr>
          <w:rFonts w:ascii="Times New Roman" w:cs="Times New Roman" w:eastAsia="Times New Roman" w:hAnsi="Times New Roman"/>
          <w:sz w:val="18"/>
          <w:szCs w:val="18"/>
          <w:u w:val="single" w:color="auto"/>
          <w:color w:val="auto"/>
        </w:rPr>
        <w:t>Sections 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7(b)(1)</w:t>
      </w:r>
      <w:r>
        <w:rPr>
          <w:rFonts w:ascii="Times New Roman" w:cs="Times New Roman" w:eastAsia="Times New Roman" w:hAnsi="Times New Roman"/>
          <w:sz w:val="18"/>
          <w:szCs w:val="18"/>
          <w:color w:val="auto"/>
        </w:rPr>
        <w:t>, or any other event, if the Administrator determines that adjustments are appropriate to avoid distortion in the operation of the Plan or any Award.</w:t>
      </w:r>
    </w:p>
    <w:p>
      <w:pPr>
        <w:spacing w:after="0" w:line="170" w:lineRule="exact"/>
        <w:rPr>
          <w:rFonts w:ascii="Times New Roman" w:cs="Times New Roman" w:eastAsia="Times New Roman" w:hAnsi="Times New Roman"/>
          <w:sz w:val="18"/>
          <w:szCs w:val="18"/>
          <w:b w:val="1"/>
          <w:bCs w:val="1"/>
          <w:color w:val="auto"/>
        </w:rPr>
      </w:pPr>
    </w:p>
    <w:p>
      <w:pPr>
        <w:ind w:left="4" w:right="20" w:firstLine="987"/>
        <w:spacing w:after="0" w:line="286" w:lineRule="auto"/>
        <w:tabs>
          <w:tab w:leader="none" w:pos="125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Application of Plan Terms</w:t>
      </w:r>
      <w:r>
        <w:rPr>
          <w:rFonts w:ascii="Times New Roman" w:cs="Times New Roman" w:eastAsia="Times New Roman" w:hAnsi="Times New Roman"/>
          <w:sz w:val="18"/>
          <w:szCs w:val="18"/>
          <w:color w:val="auto"/>
        </w:rPr>
        <w:t>. References in the Plan to shares of Stock will be construed to include any stock or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resulting from an adjustment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62"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CONDITIONS ON DELIVERY OF STOCK</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the exercise of an Award or the delivery of shares of Stock under an Award, such representations or agreements as counsel for the Company may consider appropriate to avoid violation of the Securities Act of 1933, as amended, or any applicable state or non-U.S. securities law. Any Stock delivered to Participants under the Plan will be evidenced in such manner as the Administrator determines appropriate, including book-entry registration or delivery of stock certificates. In the event that the Administrator determines that stock certificates will be issued in connection with Stock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2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4"/>
          </w:cols>
          <w:pgMar w:left="436" w:top="266" w:right="53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AMENDMENT AND TERMINATION</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Administrator may at any time or times amend the Plan or any outstanding Award for any purpose which may at the time be permitted by applicable law, and may at any time terminate the Plan as to any future grants of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as otherwise expressly provided in the Plan or the applicable Award, the Administrator may not, without the Participant’s consent, alter the terms of an Award so as to affect materially and adversely the Participant’s rights under the Award, unless the Administrator expressly reserved the right to do so in the Plan or at the time the applicable Award was granted. Any amendments to the Plan will be conditioned upon stockholder approval only to the extent, if any, such approval is required by applicable law (including the Code) or stock exchange requirements, as determined by the Administrator. For the avoidance of doubt, without limiting the Administrator’s rights hereunder, no adjustment to any Award pursuant to the terms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will be treated as an amendment requiring a Participant’s consent.</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10. OTHER COMPENSATION ARRANGEMENTS</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existence of the Plan or the grant of any Award will not affect the right of the Company or any of its subsidiaries to grant any person bonuses or other compensation in addition to Awards under the Plan.</w:t>
      </w:r>
    </w:p>
    <w:p>
      <w:pPr>
        <w:spacing w:after="0" w:line="266" w:lineRule="exact"/>
        <w:rPr>
          <w:sz w:val="20"/>
          <w:szCs w:val="20"/>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54" w:lineRule="auto"/>
        <w:tabs>
          <w:tab w:leader="none" w:pos="699"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By accepting or being deemed to have accepted an Award under the Plan, each Participant waives (or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spacing w:after="0" w:line="185" w:lineRule="exact"/>
        <w:rPr>
          <w:rFonts w:ascii="Times New Roman" w:cs="Times New Roman" w:eastAsia="Times New Roman" w:hAnsi="Times New Roman"/>
          <w:sz w:val="18"/>
          <w:szCs w:val="18"/>
          <w:b w:val="1"/>
          <w:bCs w:val="1"/>
          <w:color w:val="auto"/>
        </w:rPr>
      </w:pPr>
    </w:p>
    <w:p>
      <w:pPr>
        <w:ind w:left="4" w:right="120" w:firstLine="436"/>
        <w:spacing w:after="0" w:line="259" w:lineRule="auto"/>
        <w:tabs>
          <w:tab w:leader="none" w:pos="709"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Notwithstanding anything to the contrary in the Plan or any Award, neither the Company, nor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an Award to satisfy the requirements of Section 422 or Section 409A or by reason of Section 4999 of the Code, or otherwise asserted with respect to any Award.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5" w:name="page16"/>
    <w:bookmarkEnd w:id="15"/>
    <w:p>
      <w:pPr>
        <w:ind w:left="4" w:right="220" w:firstLine="436"/>
        <w:spacing w:after="0" w:line="268" w:lineRule="auto"/>
        <w:tabs>
          <w:tab w:leader="none" w:pos="68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Unfunded Plan</w:t>
      </w:r>
      <w:r>
        <w:rPr>
          <w:rFonts w:ascii="Times New Roman" w:cs="Times New Roman" w:eastAsia="Times New Roman" w:hAnsi="Times New Roman"/>
          <w:sz w:val="18"/>
          <w:szCs w:val="18"/>
          <w:color w:val="auto"/>
        </w:rPr>
        <w:t>. The Company’s obligations under the Plan are unfunded, and no Participant will have any right to specific assets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respect of any Award. Participants will be general unsecured creditors of the Company with respect to any amounts due or payable under the Plan.</w:t>
      </w:r>
    </w:p>
    <w:p>
      <w:pPr>
        <w:spacing w:after="0" w:line="170" w:lineRule="exact"/>
        <w:rPr>
          <w:rFonts w:ascii="Times New Roman" w:cs="Times New Roman" w:eastAsia="Times New Roman" w:hAnsi="Times New Roman"/>
          <w:sz w:val="18"/>
          <w:szCs w:val="18"/>
          <w:b w:val="1"/>
          <w:bCs w:val="1"/>
          <w:color w:val="auto"/>
        </w:rPr>
      </w:pPr>
    </w:p>
    <w:p>
      <w:pPr>
        <w:ind w:left="4" w:right="760" w:firstLine="436"/>
        <w:spacing w:after="0" w:line="286" w:lineRule="auto"/>
        <w:tabs>
          <w:tab w:leader="none" w:pos="70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Ownership Guidelines</w:t>
      </w:r>
      <w:r>
        <w:rPr>
          <w:rFonts w:ascii="Times New Roman" w:cs="Times New Roman" w:eastAsia="Times New Roman" w:hAnsi="Times New Roman"/>
          <w:sz w:val="18"/>
          <w:szCs w:val="18"/>
          <w:color w:val="auto"/>
        </w:rPr>
        <w:t>. All Awards granted under the Plan are, where applicable, subject to the Company’s 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for Non-Employee Directors and Executive Officers, adopted as of April 27, 2016 and as effective from time to time.</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12. ESTABLISHMENT OF SUB-PLANS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Administrator may at any time and from time to time (including before or after an Award is granted) establish, adopt or revise any rules and regulations as it may deem necessary or advisable to administer the Plan for Participants based outside of the U.S. and/or subject to the laws of countries other than the U.S., including by establishing one or more sub-plans, supplements or appendices under the Plan or any Award agreement for the purpose of complying or facilitating compliance with non-U.S. laws or taking advantage of tax favorable treatment or for any other legal or administrative reason determined by the Administrator. Any such sub-plan, supplement or appendix may contain (i) such limitations on the Administrator’s discretion under the Plan and (ii) such additional or different terms and conditions, in each case, as the Administrator deems necessary or desirable, and will be deemed to be part of the Plan but will apply only to Participants within the group to which the sub-plan, supplement or appendix applies (as determined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sub-plan, supplement, appendix, rule or regulation established pursuant to this provision shall increase Share Pool.</w:t>
      </w:r>
    </w:p>
    <w:p>
      <w:pPr>
        <w:spacing w:after="0" w:line="292" w:lineRule="exact"/>
        <w:rPr>
          <w:sz w:val="20"/>
          <w:szCs w:val="20"/>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17" w:lineRule="exact"/>
        <w:rPr>
          <w:rFonts w:ascii="Times New Roman" w:cs="Times New Roman" w:eastAsia="Times New Roman" w:hAnsi="Times New Roman"/>
          <w:sz w:val="18"/>
          <w:szCs w:val="18"/>
          <w:b w:val="1"/>
          <w:bCs w:val="1"/>
          <w:color w:val="auto"/>
        </w:rPr>
      </w:pPr>
    </w:p>
    <w:p>
      <w:pPr>
        <w:jc w:val="both"/>
        <w:ind w:left="4" w:right="460" w:firstLine="436"/>
        <w:spacing w:after="0" w:line="262" w:lineRule="auto"/>
        <w:tabs>
          <w:tab w:leader="none" w:pos="69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Requirements of Corporate Law</w:t>
      </w:r>
      <w:r>
        <w:rPr>
          <w:rFonts w:ascii="Times New Roman" w:cs="Times New Roman" w:eastAsia="Times New Roman" w:hAnsi="Times New Roman"/>
          <w:sz w:val="18"/>
          <w:szCs w:val="18"/>
          <w:color w:val="auto"/>
        </w:rPr>
        <w:t>. Awards and shares of Stock will be granted, issued and administered 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6"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70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Matters</w:t>
      </w:r>
      <w:r>
        <w:rPr>
          <w:rFonts w:ascii="Times New Roman" w:cs="Times New Roman" w:eastAsia="Times New Roman" w:hAnsi="Times New Roman"/>
          <w:sz w:val="18"/>
          <w:szCs w:val="18"/>
          <w:color w:val="auto"/>
        </w:rPr>
        <w:t>. Except as otherwise provided by the express terms of an Award agreement, under a sub-plan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above, the domestic substantive laws of the Commonwealth of Massachusetts govern the provisions of the Plan and of Awards under the Plan and all claims or disputes arising out of or based upon the Plan or any Award under the Plan or relating to the subject matter hereof or thereof without giving effect to any choice or conflict of laws provision or rule that would cause the application of the domestic substantive laws of any other jurisdiction.</w:t>
      </w:r>
    </w:p>
    <w:p>
      <w:pPr>
        <w:spacing w:after="0" w:line="179" w:lineRule="exact"/>
        <w:rPr>
          <w:rFonts w:ascii="Times New Roman" w:cs="Times New Roman" w:eastAsia="Times New Roman" w:hAnsi="Times New Roman"/>
          <w:sz w:val="18"/>
          <w:szCs w:val="18"/>
          <w:b w:val="1"/>
          <w:bCs w:val="1"/>
          <w:color w:val="auto"/>
        </w:rPr>
      </w:pPr>
    </w:p>
    <w:p>
      <w:pPr>
        <w:ind w:left="4" w:right="40" w:firstLine="436"/>
        <w:spacing w:after="0" w:line="262" w:lineRule="auto"/>
        <w:tabs>
          <w:tab w:leader="none" w:pos="68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except as may be expressly set forth in an Award agreement, by accepting (or being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an Award, each Participant agrees or will be deemed to have agreed to (i) submit 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or any Award; (ii) not commence any suit, action</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proceeding arising out of or based upon the Plan or any Award, except in the federal and state courts located within the geographic boundaries of the United States District Court for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Award or the subject matter thereof may not be enforced in or` by such court.</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40" w:top="270" w:right="5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Terms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when used in the Plan, have the meanings and are subject to the provisions set forth below: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Rules</w:t>
      </w:r>
      <w:r>
        <w:rPr>
          <w:rFonts w:ascii="Times New Roman" w:cs="Times New Roman" w:eastAsia="Times New Roman" w:hAnsi="Times New Roman"/>
          <w:sz w:val="18"/>
          <w:szCs w:val="18"/>
          <w:color w:val="auto"/>
        </w:rPr>
        <w:t>”: Financial Accounting Standards Board Accounting Standards Codification Topic 718, or any successor provision.</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Compensation Committee, except with respect to such matters that are not delegated to the Compensation Committee by the Board (whether pursuant to committee charter or otherwise). The Compensation Committee (or the Board, with respect to such matters over which it retains authority under the Plan or otherwise) may delegate (i) to one or more of its members (or one or more other members of the Board) such of its duties, powers and responsibilities as it may determine; (ii) to one or more officers or other Employees of the Company the power to grant Awards to the extent permitted by Section 152 or 157(c) of the Delaware General Corporation Law; and (iii)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Any or a combination of the following:</w:t>
      </w:r>
    </w:p>
    <w:p>
      <w:pPr>
        <w:spacing w:after="0" w:line="117" w:lineRule="exact"/>
        <w:rPr>
          <w:sz w:val="20"/>
          <w:szCs w:val="20"/>
          <w:color w:val="auto"/>
        </w:rPr>
      </w:pPr>
    </w:p>
    <w:p>
      <w:pPr>
        <w:ind w:left="1080" w:hanging="221"/>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Stock.</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Units, including Restricted Stock Units.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(other than Awards described in (i) through (vi) above) that are convertible into or otherwise based 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a Participant, (i) any material act of theft or fraud made by the Participant in connection with such Participant’s responsibilities as a service provider; (ii) the Participant’s conviction of, or plea of nolo contendere to, a felony or any crime involving fraud, embezzlement or any other act of moral turpitude; (iii) the Participant’s willful material misconduct with respect to any material aspect of the business of the Company; (iv) the Participant’s unauthorized use or disclosure of any proprietary information or trade secrets of the Company or any other party to whom the Participant owes an obligation of nondisclosure as a</w:t>
      </w:r>
    </w:p>
    <w:p>
      <w:pPr>
        <w:sectPr>
          <w:pgSz w:w="11900" w:h="16838" w:orient="portrait"/>
          <w:cols w:equalWidth="0" w:num="1">
            <w:col w:w="11000"/>
          </w:cols>
          <w:pgMar w:left="440" w:top="266" w:right="45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 of the Participant’s relationship with the Company; (v) the Participant’s willful breach of any obligations under any written agreement or covenant with the Company; or (vi) the Participant’s failure to perform his or her duties as a service provider after the Participant has received a written notice from the Company which specifically sets forth the factual basis for the Company’s belief that the Participant has not substantially performed his or her duties, and which the Participant fails to cure to the Company’s satisfaction within ten (10) business days after receiving such notice.</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U.S. Internal Revenue Code of 1986, as from time to time amended and in effect, or any successor statute as from time to time in effect, including any applicable regulations and guidance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Sarepta Therapeutics, Inc.,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compensation committee of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Transaction</w:t>
      </w:r>
      <w:r>
        <w:rPr>
          <w:rFonts w:ascii="Times New Roman" w:cs="Times New Roman" w:eastAsia="Times New Roman" w:hAnsi="Times New Roman"/>
          <w:sz w:val="18"/>
          <w:szCs w:val="18"/>
          <w:color w:val="auto"/>
        </w:rPr>
        <w:t>”: means the occurrence of any of the following events:</w:t>
      </w:r>
    </w:p>
    <w:p>
      <w:pPr>
        <w:spacing w:after="0" w:line="115" w:lineRule="exact"/>
        <w:rPr>
          <w:sz w:val="20"/>
          <w:szCs w:val="20"/>
          <w:color w:val="auto"/>
        </w:rPr>
      </w:pPr>
    </w:p>
    <w:p>
      <w:pPr>
        <w:ind w:left="440" w:right="120" w:firstLine="419"/>
        <w:spacing w:after="0" w:line="258" w:lineRule="auto"/>
        <w:tabs>
          <w:tab w:leader="none" w:pos="107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Ownership of the Company</w:t>
      </w:r>
      <w:r>
        <w:rPr>
          <w:rFonts w:ascii="Times New Roman" w:cs="Times New Roman" w:eastAsia="Times New Roman" w:hAnsi="Times New Roman"/>
          <w:sz w:val="18"/>
          <w:szCs w:val="18"/>
          <w:color w:val="auto"/>
        </w:rPr>
        <w:t>. A change in the ownership of the Company occurs on the date that any one person, or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acquires ownership of the stock of the Company that, together with the stock held by such Person, constitutes more than fifty percent (50%) of the total voting power of the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subsection (i), the acquisition of additional stock by any one Person who is considered to own more than fifty percent (50%) of the total voting power of the stock of the Company will not be considered a Covered Transaction; or</w:t>
      </w:r>
    </w:p>
    <w:p>
      <w:pPr>
        <w:spacing w:after="0" w:line="75" w:lineRule="exact"/>
        <w:rPr>
          <w:rFonts w:ascii="Times New Roman" w:cs="Times New Roman" w:eastAsia="Times New Roman" w:hAnsi="Times New Roman"/>
          <w:sz w:val="18"/>
          <w:szCs w:val="18"/>
          <w:color w:val="auto"/>
        </w:rPr>
      </w:pPr>
    </w:p>
    <w:p>
      <w:pPr>
        <w:ind w:left="440" w:right="80" w:firstLine="419"/>
        <w:spacing w:after="0" w:line="277" w:lineRule="auto"/>
        <w:tabs>
          <w:tab w:leader="none" w:pos="112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 in Effective Control of the Company</w:t>
      </w:r>
      <w:r>
        <w:rPr>
          <w:rFonts w:ascii="Times New Roman" w:cs="Times New Roman" w:eastAsia="Times New Roman" w:hAnsi="Times New Roman"/>
          <w:sz w:val="17"/>
          <w:szCs w:val="17"/>
          <w:color w:val="auto"/>
        </w:rPr>
        <w:t>. If the Company has a class of securities registered pursuant to Section 12 of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 change in the effective control of the Company occurs on the date that a majority of members of the Board is replaced during any twelve</w:t>
      </w:r>
    </w:p>
    <w:p>
      <w:pPr>
        <w:spacing w:after="0" w:line="1" w:lineRule="exact"/>
        <w:rPr>
          <w:rFonts w:ascii="Times New Roman" w:cs="Times New Roman" w:eastAsia="Times New Roman" w:hAnsi="Times New Roman"/>
          <w:sz w:val="17"/>
          <w:szCs w:val="17"/>
          <w:color w:val="auto"/>
        </w:rPr>
      </w:pPr>
    </w:p>
    <w:p>
      <w:pPr>
        <w:ind w:left="440" w:right="60" w:hanging="4"/>
        <w:spacing w:after="0" w:line="255" w:lineRule="auto"/>
        <w:tabs>
          <w:tab w:leader="none" w:pos="7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Covered Transaction; or</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assets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subsection (iii), the following will not constitute a change in the ownership of a substantial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assets: (A) a transfer to an entity that is controlled by the Company’s stockholders immediately after the transfer; or (B) a transfer of assets by the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0"/>
          </w:cols>
          <w:pgMar w:left="440" w:top="270" w:right="479" w:bottom="1440" w:gutter="0" w:footer="0" w:header="0"/>
        </w:sectPr>
      </w:pPr>
    </w:p>
    <w:bookmarkStart w:id="19" w:name="page20"/>
    <w:bookmarkEnd w:id="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to (1) a stockholder of the Company (immediately before the asset transfer) in exchange for or with respect to the Company’s stock,</w:t>
      </w:r>
    </w:p>
    <w:p>
      <w:pPr>
        <w:spacing w:after="0" w:line="27" w:lineRule="exact"/>
        <w:rPr>
          <w:sz w:val="20"/>
          <w:szCs w:val="20"/>
          <w:color w:val="auto"/>
        </w:rPr>
      </w:pPr>
    </w:p>
    <w:p>
      <w:pPr>
        <w:ind w:left="444" w:hanging="4"/>
        <w:spacing w:after="0" w:line="265" w:lineRule="auto"/>
        <w:tabs>
          <w:tab w:leader="none" w:pos="69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entity, fifty percent (50%) or more of the total value or voting power of which is owned, directly or indirectly, by the Company, (3) a Person that owns, directly or indirectly, fifty percent (50%) or more of the total value or voting power of all the outstanding stock of the Company, or</w:t>
      </w:r>
    </w:p>
    <w:p>
      <w:pPr>
        <w:jc w:val="both"/>
        <w:ind w:left="444" w:right="120" w:hanging="4"/>
        <w:spacing w:after="0" w:line="255" w:lineRule="auto"/>
        <w:tabs>
          <w:tab w:leader="none" w:pos="6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78" w:lineRule="exact"/>
        <w:rPr>
          <w:sz w:val="20"/>
          <w:szCs w:val="20"/>
          <w:color w:val="auto"/>
        </w:rPr>
      </w:pPr>
    </w:p>
    <w:p>
      <w:pPr>
        <w:ind w:left="444" w:right="20"/>
        <w:spacing w:after="0" w:line="258" w:lineRule="auto"/>
        <w:rPr>
          <w:sz w:val="20"/>
          <w:szCs w:val="20"/>
          <w:color w:val="auto"/>
        </w:rPr>
      </w:pPr>
      <w:r>
        <w:rPr>
          <w:rFonts w:ascii="Times New Roman" w:cs="Times New Roman" w:eastAsia="Times New Roman" w:hAnsi="Times New Roman"/>
          <w:sz w:val="18"/>
          <w:szCs w:val="18"/>
          <w:color w:val="auto"/>
        </w:rPr>
        <w:t>For purposes of the definition of a Covered Transaction, persons will be considered to be acting as a group if they are owners of a corporation that enters into a merger, consolidation, purchase or acquisition of stock, or similar business transaction with the Company. Further and for the avoidance of doubt, a transaction shall not constitute a Covered Transaction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183"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Adoption</w:t>
      </w:r>
      <w:r>
        <w:rPr>
          <w:rFonts w:ascii="Times New Roman" w:cs="Times New Roman" w:eastAsia="Times New Roman" w:hAnsi="Times New Roman"/>
          <w:sz w:val="18"/>
          <w:szCs w:val="18"/>
          <w:color w:val="auto"/>
        </w:rPr>
        <w:t>”: The earlier of the date the Plan was approved by the Company’s stockholders or adopted by the Board, as determined by the Compensation Committee.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A member of the Board who is not an Employee.</w:t>
      </w:r>
    </w:p>
    <w:p>
      <w:pPr>
        <w:spacing w:after="0" w:line="225" w:lineRule="exact"/>
        <w:rPr>
          <w:sz w:val="20"/>
          <w:szCs w:val="20"/>
          <w:color w:val="auto"/>
        </w:rPr>
      </w:pPr>
    </w:p>
    <w:p>
      <w:pPr>
        <w:ind w:left="4" w:right="20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Total and permanent disability as defined in Section 22(e)(3) of the Code, provided that in the case of Awards other than ISOs, the Administrator in its discretion may determine whether a permanent and total disability exists in accordance with uniform and non-discriminatory standards adopted by the Administrator from time to time. Notwithstanding the foregoing, for an Award that provides for payment or settlement triggered upon a Disability and that constitutes an Award subject to Section 409A, the foregoing definition shall apply for purposes of vesting of such Award, provided that for purposes of payment or settlement of such Award, such Award shall not be paid (or otherwise settled) until the earliest of:</w:t>
      </w:r>
    </w:p>
    <w:p>
      <w:pPr>
        <w:spacing w:after="0" w:line="3" w:lineRule="exact"/>
        <w:rPr>
          <w:sz w:val="20"/>
          <w:szCs w:val="20"/>
          <w:color w:val="auto"/>
        </w:rPr>
      </w:pPr>
    </w:p>
    <w:p>
      <w:pPr>
        <w:ind w:left="4" w:right="400" w:hanging="4"/>
        <w:spacing w:after="0" w:line="255" w:lineRule="auto"/>
        <w:tabs>
          <w:tab w:leader="none" w:pos="2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“disability” within the meaning of Section 409A(a)(2)(C)(i) or (ii) of the Code; (B) the Participant’s “separation from service” within the meaning of Section 409A; (C) the date such Award would otherwise be settled pursuant to the terms of the Award agreement; (D) a transaction that qualifies as a change in control event within the meaning of Section 409A; or (E) death of the Participant.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Any person who is employed by the Company or any of its subsidiaries.</w:t>
      </w:r>
    </w:p>
    <w:p>
      <w:pPr>
        <w:spacing w:after="0" w:line="225"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A Participant’s employment or other service relationship with the Company or any of its subsidiaries. Employment will be deemed to continue, unless the Administrator otherwise determines, so long as the Participant is employed by, or otherwise is providing services in a capacity described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the Company or any of its subsidiaries, including during any period when a Participant is on a leave of absence approved by the Company.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4"/>
          </w:cols>
          <w:pgMar w:left="436" w:top="270" w:right="479" w:bottom="1440" w:gutter="0" w:footer="0" w:header="0"/>
        </w:sectPr>
      </w:pPr>
    </w:p>
    <w:bookmarkStart w:id="20" w:name="page21"/>
    <w:bookmarkEnd w:id="2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Participant’s employment or other service relationship is with any subsidiary of the Company and that entity ceases to be a subsidiary of the Company, the Participant’s Employment will be deemed to have terminated when the entity ceases to be a subsidiary of the Company unless the Participant transfers Employment to the Company or one of its remaining subsidiaries. Notwithstanding the foregoing,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Securities Exchange Act of 1934, as amended.</w:t>
      </w:r>
    </w:p>
    <w:p>
      <w:pPr>
        <w:spacing w:after="0" w:line="225"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As of a particular date, (i) the closing price for a share of Stock reported on the Nasdaq Global Stock Market (or any other national securities exchange on which the Stock is then listed) for that date or, if no closing price is reported for that date, the closing price on the immediately preceding date on which a closing price was reported; or (ii) in the event that the Stock is not traded on a national securities exchange, the fair market value of a share of Stock determined by the Administrator consistent with the rules of Section 422 and Section 409A to the extent applicable.</w:t>
      </w:r>
    </w:p>
    <w:p>
      <w:pPr>
        <w:spacing w:after="0" w:line="164"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A Stock Option intended to be an “incentive stock option” within the meaning of Section 422. Each Stock Option granted pursuant to the Plan will be treated as providing by its terms that it is to be an NSO unless, as of the date of grant, it is expressly designated as an ISO in the applicable Award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NSO</w:t>
      </w:r>
      <w:r>
        <w:rPr>
          <w:rFonts w:ascii="Times New Roman" w:cs="Times New Roman" w:eastAsia="Times New Roman" w:hAnsi="Times New Roman"/>
          <w:sz w:val="18"/>
          <w:szCs w:val="18"/>
          <w:color w:val="auto"/>
        </w:rPr>
        <w:t>”: A Stock Option that is not intended to be an “incentive stock option” within the meaning of Section 422.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 person who is granted an Award under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An Award subject to performance vesting conditions, which may include Performance Criteria.</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Specified criteria, other than the mere continuation of Employment or the mere passage of time, the satisfaction of which is a condition for the grant, exercisability, vesting or settlement of an Award. A Performance Criterion and any targets with respect thereto need not be based upon an increase, a positive or improved result or avoidance of loss and may be applied to a Participant individually, or to a business unit or division of the Company or to the Company as a whole. A Performance Criterion may also be based on individual performance and/or subjective performance criteria. The Administrator may provide that one or more of the Performance Criteria applicable to such Award will be adjusted in a manner to reflect events (for example, but without limitation, acquisitions or dispositions) occurring during the performance period that affect the applicable Performance Criterion or Criteria.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20"/>
          </w:cols>
          <w:pgMar w:left="440" w:top="270" w:right="43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Sarepta Therapeutics, Inc. 2026 Equity Incentive Plan, as from time to time amended and in effect.</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The Sarepta Therapeutics, Inc. 2018 Equity Incentive Plan, as amended, and/or the Sarepta Therapeutics, Inc. Amended and Restated 2011 Equity Incentive Plan, as the case may be.</w:t>
      </w:r>
    </w:p>
    <w:p>
      <w:pPr>
        <w:spacing w:after="0" w:line="162"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Stock subject to restrictions requiring that it be forfeited, redelivered or offered for sale to the Company if specified performance or other vesting conditions are not satisfied.</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A Stock Unit that is, or as to which the delivery of Stock or of cash in lieu of Stock is, subject to the satisfaction of specified performance or other vesting conditions.</w:t>
      </w:r>
    </w:p>
    <w:p>
      <w:pPr>
        <w:spacing w:after="0" w:line="162"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SAR</w:t>
      </w:r>
      <w:r>
        <w:rPr>
          <w:rFonts w:ascii="Times New Roman" w:cs="Times New Roman" w:eastAsia="Times New Roman" w:hAnsi="Times New Roman"/>
          <w:sz w:val="17"/>
          <w:szCs w:val="17"/>
          <w:color w:val="auto"/>
        </w:rPr>
        <w:t>”: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Section 409A of the Code and the regulations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Section 422 of the Code and the regulations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Common stock of the Company, par value $0.0001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An option entitling the holder to acquire shares of Stock upon payment of the exercise price.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Unit</w:t>
      </w:r>
      <w:r>
        <w:rPr>
          <w:rFonts w:ascii="Times New Roman" w:cs="Times New Roman" w:eastAsia="Times New Roman" w:hAnsi="Times New Roman"/>
          <w:sz w:val="18"/>
          <w:szCs w:val="18"/>
          <w:color w:val="auto"/>
        </w:rPr>
        <w:t>”: An unfunded and unsecured promise, denominated in shares of Stock, to deliver Stock or cash measured by the value of Stock in the future.</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Awards granted under the Plan in substitution for one or more equity awards of an acquired company that are converted, replaced or adjusted in connection with the acquisition.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Stock</w:t>
      </w:r>
      <w:r>
        <w:rPr>
          <w:rFonts w:ascii="Times New Roman" w:cs="Times New Roman" w:eastAsia="Times New Roman" w:hAnsi="Times New Roman"/>
          <w:sz w:val="18"/>
          <w:szCs w:val="18"/>
          <w:color w:val="auto"/>
        </w:rPr>
        <w:t>”: Stock not subject to any restrictions under the terms of the Award.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Defined Terms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by reference, defines the terms used in the Plan and sets forth certain operational rules related to those terms.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Purpose of Plan</w:t>
      </w:r>
    </w:p>
    <w:p>
      <w:pPr>
        <w:spacing w:after="0" w:line="121"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Plan is intended to enable Eligible Employees to use payroll deductions to purchase shares of Stock in offerings under the Plan, and thereby acquire an interest in the Company. The Plan is intended to qualify as an “employee stock purchase plan” under Section 423 and to be exempt from the application and requirements of Section 409A of the Code, and is to be construed accordingly.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Options to Purchase Stock</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Subject to adjustment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of the Plan, the maximum aggregate number of shares of Stock available for purchase pursuant to the exercise of Options granted under the Plan will be 1,500,000 shares (the “</w:t>
      </w:r>
      <w:r>
        <w:rPr>
          <w:rFonts w:ascii="Times New Roman" w:cs="Times New Roman" w:eastAsia="Times New Roman" w:hAnsi="Times New Roman"/>
          <w:sz w:val="18"/>
          <w:szCs w:val="18"/>
          <w:u w:val="single" w:color="auto"/>
          <w:color w:val="auto"/>
        </w:rPr>
        <w:t>Share Pool</w:t>
      </w:r>
      <w:r>
        <w:rPr>
          <w:rFonts w:ascii="Times New Roman" w:cs="Times New Roman" w:eastAsia="Times New Roman" w:hAnsi="Times New Roman"/>
          <w:sz w:val="18"/>
          <w:szCs w:val="18"/>
          <w:color w:val="auto"/>
        </w:rPr>
        <w:t>”). The shares of Stock to be delivered upon exercise of Options under the Plan may be either shares of authorized but unissued Stock, treasury Stock, or previously issued Stock acquired by the Company. If any Option granted under the Plan expires or terminates for any reason without having been exercised in full or ceases for any reason to be exercisable in whole or in part, the unpurchased shares of Stock subject to such Option will not reduce the Share Pool and will again be available for purchase under the Plan. If, on an Exercise Date, the total number of shares of Stock that would otherwise be subject to Options granted under the Plan exceeds the number of shares then available in the Share Pool, the Administrator shall make a pro rata allocation of the shares remaining available for purchase under the Plan in as uniform a manner as is practicable and as it determines to be equitable. In such event, the Administrator shall notify each Participant of such reduction and of the effect on the Participant’s Options and may reduce the rate of a Participant’s payroll deductions, if necessary.</w:t>
      </w:r>
    </w:p>
    <w:p>
      <w:pPr>
        <w:spacing w:after="0" w:line="292" w:lineRule="exact"/>
        <w:rPr>
          <w:sz w:val="20"/>
          <w:szCs w:val="20"/>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17" w:lineRule="exact"/>
        <w:rPr>
          <w:rFonts w:ascii="Times New Roman" w:cs="Times New Roman" w:eastAsia="Times New Roman" w:hAnsi="Times New Roman"/>
          <w:sz w:val="18"/>
          <w:szCs w:val="18"/>
          <w:b w:val="1"/>
          <w:bCs w:val="1"/>
          <w:color w:val="auto"/>
        </w:rPr>
      </w:pPr>
    </w:p>
    <w:p>
      <w:pPr>
        <w:jc w:val="both"/>
        <w:ind w:left="4" w:right="420" w:firstLine="436"/>
        <w:spacing w:after="0" w:line="268" w:lineRule="auto"/>
        <w:tabs>
          <w:tab w:leader="none" w:pos="69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Eligibility Requirements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Plan, and the exceptions and limitations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 or as may be provided elsewhere in the Plan or in any sub-plan contemplated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each Employee who customarily works thirty (30) hours or more per week; and who satisfies the requirements set forth in the Plan will be an Eligible Employee.</w:t>
      </w:r>
    </w:p>
    <w:p>
      <w:pPr>
        <w:spacing w:after="0" w:line="170" w:lineRule="exact"/>
        <w:rPr>
          <w:rFonts w:ascii="Times New Roman" w:cs="Times New Roman" w:eastAsia="Times New Roman" w:hAnsi="Times New Roman"/>
          <w:sz w:val="18"/>
          <w:szCs w:val="18"/>
          <w:b w:val="1"/>
          <w:bCs w:val="1"/>
          <w:color w:val="auto"/>
        </w:rPr>
      </w:pPr>
    </w:p>
    <w:p>
      <w:pPr>
        <w:ind w:left="4" w:right="100" w:firstLine="436"/>
        <w:spacing w:after="0" w:line="268" w:lineRule="auto"/>
        <w:tabs>
          <w:tab w:leader="none" w:pos="70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Five Percent Shareholders</w:t>
      </w:r>
      <w:r>
        <w:rPr>
          <w:rFonts w:ascii="Times New Roman" w:cs="Times New Roman" w:eastAsia="Times New Roman" w:hAnsi="Times New Roman"/>
          <w:sz w:val="18"/>
          <w:szCs w:val="18"/>
          <w:color w:val="auto"/>
        </w:rPr>
        <w:t>. No Employee may be granted an Option under the Plan if, immediately after the Option is granted, the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own (or pursuant to Section 424(d) of the Code would be deemed to own) stock possessing five percent (5%) or more of the total combined voting power or value of all classes of stock of the Company or of its Parent or Subsidiaries, if any.</w:t>
      </w:r>
    </w:p>
    <w:p>
      <w:pPr>
        <w:sectPr>
          <w:pgSz w:w="11900" w:h="16838" w:orient="portrait"/>
          <w:cols w:equalWidth="0" w:num="1">
            <w:col w:w="11024"/>
          </w:cols>
          <w:pgMar w:left="436" w:top="117" w:right="439" w:bottom="1440" w:gutter="0" w:footer="0" w:header="0"/>
        </w:sectPr>
      </w:pPr>
    </w:p>
    <w:bookmarkStart w:id="23" w:name="page24"/>
    <w:bookmarkEnd w:id="23"/>
    <w:p>
      <w:pPr>
        <w:ind w:left="4" w:right="280" w:firstLine="436"/>
        <w:spacing w:after="0" w:line="317" w:lineRule="auto"/>
        <w:tabs>
          <w:tab w:leader="none" w:pos="689" w:val="left"/>
        </w:tabs>
        <w:numPr>
          <w:ilvl w:val="1"/>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Requirements</w:t>
      </w:r>
      <w:r>
        <w:rPr>
          <w:rFonts w:ascii="Times New Roman" w:cs="Times New Roman" w:eastAsia="Times New Roman" w:hAnsi="Times New Roman"/>
          <w:sz w:val="17"/>
          <w:szCs w:val="17"/>
          <w:color w:val="auto"/>
        </w:rPr>
        <w:t>. The Administrator may, for Option Periods that have not yet commenced, establish additional or other eligibility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requirements, or amend the eligibility requirements set forth in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above, in each case, consistent with the requirements of Section 423.</w:t>
      </w:r>
    </w:p>
    <w:p>
      <w:pPr>
        <w:spacing w:after="0" w:line="239" w:lineRule="exact"/>
        <w:rPr>
          <w:rFonts w:ascii="Times New Roman" w:cs="Times New Roman" w:eastAsia="Times New Roman" w:hAnsi="Times New Roman"/>
          <w:sz w:val="17"/>
          <w:szCs w:val="17"/>
          <w:b w:val="1"/>
          <w:bCs w:val="1"/>
          <w:color w:val="auto"/>
        </w:rPr>
      </w:pPr>
    </w:p>
    <w:p>
      <w:pPr>
        <w:ind w:left="184" w:hanging="184"/>
        <w:spacing w:after="0"/>
        <w:tabs>
          <w:tab w:leader="none" w:pos="18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Periods</w:t>
      </w:r>
    </w:p>
    <w:p>
      <w:pPr>
        <w:spacing w:after="0" w:line="12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Plan will generally be implemented by a series of separate offerings referred to as “</w:t>
      </w:r>
      <w:r>
        <w:rPr>
          <w:rFonts w:ascii="Times New Roman" w:cs="Times New Roman" w:eastAsia="Times New Roman" w:hAnsi="Times New Roman"/>
          <w:sz w:val="18"/>
          <w:szCs w:val="18"/>
          <w:u w:val="single" w:color="auto"/>
          <w:color w:val="auto"/>
        </w:rPr>
        <w:t>Option Periods</w:t>
      </w:r>
      <w:r>
        <w:rPr>
          <w:rFonts w:ascii="Times New Roman" w:cs="Times New Roman" w:eastAsia="Times New Roman" w:hAnsi="Times New Roman"/>
          <w:sz w:val="18"/>
          <w:szCs w:val="18"/>
          <w:color w:val="auto"/>
        </w:rPr>
        <w:t>.” Unless otherwise determined by the Administrator, the Option Periods will be successive periods of approximately six (6) months commencing on the first Business Day in January and July of each year, anticipated to be on or around January 2 and July 1, and ending approximately six (6) months later on the last Business Day in June or December, as applicable, of each year, anticipated to be on or around June 30 and December 31. The last Business Day of each Option Period will be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The Administrator may change the Exercise Date, the commencement date, the ending date and the duration of each Option Period, in each case, to the extent permitted by Section 423;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Option may be exercised after twenty-seven (27) months from its grant date.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Option Grant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Subject to the requirements and limitations set forth in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of the Plan and the Maximum Share Limit, on the first day of an Option Period, each Participant will automatically be granted an Option to purchase shares of Stock on the Exercise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Participant will be granted an Option under the Plan that permits the Participant’s right to purchase shares of 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423(b)(8) of the Code.</w:t>
      </w:r>
    </w:p>
    <w:p>
      <w:pPr>
        <w:spacing w:after="0" w:line="291" w:lineRule="exact"/>
        <w:rPr>
          <w:sz w:val="20"/>
          <w:szCs w:val="20"/>
          <w:color w:val="auto"/>
        </w:rPr>
      </w:pPr>
    </w:p>
    <w:p>
      <w:pPr>
        <w:ind w:left="184" w:hanging="184"/>
        <w:spacing w:after="0"/>
        <w:tabs>
          <w:tab w:leader="none" w:pos="18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Participation</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57" w:lineRule="auto"/>
        <w:tabs>
          <w:tab w:leader="none" w:pos="699"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Payroll Deduction and Participation Authorization</w:t>
      </w:r>
      <w:r>
        <w:rPr>
          <w:rFonts w:ascii="Times New Roman" w:cs="Times New Roman" w:eastAsia="Times New Roman" w:hAnsi="Times New Roman"/>
          <w:sz w:val="18"/>
          <w:szCs w:val="18"/>
          <w:color w:val="auto"/>
        </w:rPr>
        <w:t>. To participate in an Option Period, an Eligible Employee must execute and deliver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a payroll deduction and participation authorization form in accordance with the procedures prescribed by, and in a form acceptable to, the Administrator and, in so doing, the Eligible Employee will thereby become a Participant as of the first day of such Option Period. Such an Eligible Employee will remain a Participant with respect to subsequent Option Periods until his or her participation in the Plan is terminated as provided herein. Such payroll deduction and participation authorization must be delivered not later than fifteen (15) calendar days prior to the first day of an Option Period, or such other time as specified by the Administrator.</w:t>
      </w:r>
    </w:p>
    <w:p>
      <w:pPr>
        <w:spacing w:after="0" w:line="182" w:lineRule="exact"/>
        <w:rPr>
          <w:rFonts w:ascii="Times New Roman" w:cs="Times New Roman" w:eastAsia="Times New Roman" w:hAnsi="Times New Roman"/>
          <w:sz w:val="18"/>
          <w:szCs w:val="18"/>
          <w:b w:val="1"/>
          <w:bCs w:val="1"/>
          <w:color w:val="auto"/>
        </w:rPr>
      </w:pPr>
    </w:p>
    <w:p>
      <w:pPr>
        <w:ind w:left="4" w:right="140" w:firstLine="436"/>
        <w:spacing w:after="0" w:line="262" w:lineRule="auto"/>
        <w:tabs>
          <w:tab w:leader="none" w:pos="709"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to Payroll Deduction Authorization for Subsequent Option Periods</w:t>
      </w:r>
      <w:r>
        <w:rPr>
          <w:rFonts w:ascii="Times New Roman" w:cs="Times New Roman" w:eastAsia="Times New Roman" w:hAnsi="Times New Roman"/>
          <w:sz w:val="18"/>
          <w:szCs w:val="18"/>
          <w:color w:val="auto"/>
        </w:rPr>
        <w:t>. A Participant’s payroll deduction authorization will remain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effect for subsequent Option Periods unless the Participant files a new authorization not later than five (5) Business Days prior to the first day of the subsequent Option Period (or such other time as specified by the Administrator) or the Participant’s Option is cancelled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Plan.</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4" w:name="page25"/>
    <w:bookmarkEnd w:id="24"/>
    <w:p>
      <w:pPr>
        <w:ind w:left="4" w:right="200" w:firstLine="436"/>
        <w:spacing w:after="0" w:line="268" w:lineRule="auto"/>
        <w:tabs>
          <w:tab w:leader="none" w:pos="6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to Payroll Deduction Authorization for Current Option Period</w:t>
      </w:r>
      <w:r>
        <w:rPr>
          <w:rFonts w:ascii="Times New Roman" w:cs="Times New Roman" w:eastAsia="Times New Roman" w:hAnsi="Times New Roman"/>
          <w:sz w:val="18"/>
          <w:szCs w:val="18"/>
          <w:color w:val="auto"/>
        </w:rPr>
        <w:t>. During an Option Period, a Participant’s payroll deduction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authorization may not be increased or decreased, except that a Participant may terminate his or her payroll deduction authorization by canceling his or her Option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w:t>
      </w:r>
    </w:p>
    <w:p>
      <w:pPr>
        <w:spacing w:after="0" w:line="170" w:lineRule="exact"/>
        <w:rPr>
          <w:rFonts w:ascii="Times New Roman" w:cs="Times New Roman" w:eastAsia="Times New Roman" w:hAnsi="Times New Roman"/>
          <w:sz w:val="18"/>
          <w:szCs w:val="18"/>
          <w:b w:val="1"/>
          <w:bCs w:val="1"/>
          <w:color w:val="auto"/>
        </w:rPr>
      </w:pPr>
    </w:p>
    <w:p>
      <w:pPr>
        <w:ind w:left="4" w:right="380" w:firstLine="436"/>
        <w:spacing w:after="0" w:line="286" w:lineRule="auto"/>
        <w:tabs>
          <w:tab w:leader="none" w:pos="70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Payroll Deduction Percentage</w:t>
      </w:r>
      <w:r>
        <w:rPr>
          <w:rFonts w:ascii="Times New Roman" w:cs="Times New Roman" w:eastAsia="Times New Roman" w:hAnsi="Times New Roman"/>
          <w:sz w:val="18"/>
          <w:szCs w:val="18"/>
          <w:color w:val="auto"/>
        </w:rPr>
        <w:t>. Each payroll deduction authorization will authorize payroll deductions as a whole percentage from one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 to 15%) of the employee’s Eligible Compensation per payroll period.</w:t>
      </w:r>
    </w:p>
    <w:p>
      <w:pPr>
        <w:spacing w:after="0" w:line="154" w:lineRule="exact"/>
        <w:rPr>
          <w:rFonts w:ascii="Times New Roman" w:cs="Times New Roman" w:eastAsia="Times New Roman" w:hAnsi="Times New Roman"/>
          <w:sz w:val="18"/>
          <w:szCs w:val="18"/>
          <w:b w:val="1"/>
          <w:bCs w:val="1"/>
          <w:color w:val="auto"/>
        </w:rPr>
      </w:pPr>
    </w:p>
    <w:p>
      <w:pPr>
        <w:ind w:left="4" w:right="320" w:firstLine="436"/>
        <w:spacing w:after="0" w:line="286" w:lineRule="auto"/>
        <w:tabs>
          <w:tab w:leader="none" w:pos="68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Payroll Deduction Account</w:t>
      </w:r>
      <w:r>
        <w:rPr>
          <w:rFonts w:ascii="Times New Roman" w:cs="Times New Roman" w:eastAsia="Times New Roman" w:hAnsi="Times New Roman"/>
          <w:sz w:val="18"/>
          <w:szCs w:val="18"/>
          <w:color w:val="auto"/>
        </w:rPr>
        <w:t>. All payroll deductions made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credited to the Participant’s Account.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credited to a Participant’s Account will not be required to be set aside in trust or otherwise segregated from the Company’s general assets.</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 Method of Payment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Participant must pay for shares of Stock purchased under the Plan with accumulated payroll deductions credited to the Participant’s Account.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Purchase Price</w:t>
      </w:r>
    </w:p>
    <w:p>
      <w:pPr>
        <w:spacing w:after="0" w:line="121" w:lineRule="exact"/>
        <w:rPr>
          <w:sz w:val="20"/>
          <w:szCs w:val="20"/>
          <w:color w:val="auto"/>
        </w:rPr>
      </w:pPr>
    </w:p>
    <w:p>
      <w:pPr>
        <w:ind w:left="4" w:right="2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Purchase Price of shares of Stock issued pursuant to the exercise of an Option on each Exercise Date will be eighty-five percent (85%) (or such greater percentage specified by the Administrator to the extent permitted under Section 423) of the following, unless otherwise specified by Administrator prior to the commencement of an Option Period: the lesser of (i) the Fair Market Value of a share of Stock on the date on which the Option was granted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 (i.e., the first day of the Option Period) and (ii) the Fair Market Value of a share of Stock on the date on which the Option is deemed exercised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Plan (i.e., the Exercise Date).</w:t>
      </w:r>
    </w:p>
    <w:p>
      <w:pPr>
        <w:spacing w:after="0" w:line="287"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Options</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99"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Purchase of Shares</w:t>
      </w:r>
      <w:r>
        <w:rPr>
          <w:rFonts w:ascii="Times New Roman" w:cs="Times New Roman" w:eastAsia="Times New Roman" w:hAnsi="Times New Roman"/>
          <w:sz w:val="18"/>
          <w:szCs w:val="18"/>
          <w:color w:val="auto"/>
        </w:rPr>
        <w:t>. Subject to the limitations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Plan and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with respect to each Option Period,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applicable Exercise Date, each Participant will be deemed to have exercised his or her Option and the accumulated payroll deductions in the Participant’s Account will be applied to purchase the greatest number of shares of Stock (rounded down to the nearest whole share) that can be purchased with such Account balance at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more than 2,500 shares of Stock may be purchased by a Participant on any Exercise Date, or such lesser number as the Administrator may prescribe in accordance with Section 423 (the “</w:t>
      </w:r>
      <w:r>
        <w:rPr>
          <w:rFonts w:ascii="Times New Roman" w:cs="Times New Roman" w:eastAsia="Times New Roman" w:hAnsi="Times New Roman"/>
          <w:sz w:val="18"/>
          <w:szCs w:val="18"/>
          <w:u w:val="single" w:color="auto"/>
          <w:color w:val="auto"/>
        </w:rPr>
        <w:t>Maximum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w:t>
      </w:r>
      <w:r>
        <w:rPr>
          <w:rFonts w:ascii="Times New Roman" w:cs="Times New Roman" w:eastAsia="Times New Roman" w:hAnsi="Times New Roman"/>
          <w:sz w:val="18"/>
          <w:szCs w:val="18"/>
          <w:color w:val="auto"/>
        </w:rPr>
        <w:t xml:space="preserve">”). As soon as practicable thereafter, shares of Stock so purchased will be placed, in book-entry form, into a record keeping account in the name of the Participant. No fractional shares will be purchased pursuant to the exercise of an Option under the Plan, unless otherwise determined by the Administrator; any accumulated payroll deductions in a Participant’s Account that are not sufficient to purchase a whole share will be retained in the Participant’s Account for the subsequent Option Period, subject to earlier withdrawal by the Participant as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25" w:name="page26"/>
    <w:bookmarkEnd w:id="25"/>
    <w:p>
      <w:pPr>
        <w:ind w:left="4" w:right="140" w:firstLine="436"/>
        <w:spacing w:after="0" w:line="255" w:lineRule="auto"/>
        <w:tabs>
          <w:tab w:leader="none" w:pos="709"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 of Account Balance</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above with respect to fractional shares, any accumulated amount of payroll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deductions in a Participant’s Account for an Option Period that are not used for the purchase of shares of Stock, whether because of the Participant’s withdrawal from participation in an Option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Exercise Date of an Option Period would otherwise enable the Participant to purchase shares of Stock in excess of the Maximum Share Limit or the maximum Fair Market Value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 the excess of the amount of the accumulated payroll deductions over the aggregate Purchase Price of the shares of Stock actually purchased will be returned to the Participant, without interest, as soon as administratively practicable after such Exercise Date.</w:t>
      </w:r>
    </w:p>
    <w:p>
      <w:pPr>
        <w:spacing w:after="0" w:line="29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interest will accrue or be payable on any amount held in the Account of any Participant.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12. Taxes</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Payroll deductions will be made on an after-tax basis. The Administrator will have the right to make such provision as it deems necessary for, and may condition the exercise of an Option on, the satisfaction of its obligations to withhold federal, state, local income or other taxes incurred by reason of the purchase or disposition of shares of Stock under the Plan. In the Administrator’s discretion and subject to applicable law, such tax obligations may be satisfied in whole or in part by delivery of shares of Stock to the Company, including shares of Stock purchased under the Plan, valued at Fair Market Value, but not in excess of the maximum withholding amount consistent with the award being subject to equity accounting treatment under the Accounting Rules.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 Cancellation and Withdrawal</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Participant who has been granted an Option under the Plan may cancel all (but not less than all) of such Option and terminate his or her participation in the Plan by notice to the Administrator in accordance with the procedures prescribed by, and in a form acceptable to, the Administrator. To be effective with respect to an upcoming Exercise Date, such cancellation notice must be delivered not later than five (5) calendar days prior to such Exercise Date (or such other time as specified by the Administrator). Upon such termination and cancellation, the balance in the Participant’s Account will be returned to the Participant, without interest, as soon as administratively practicable thereafter. For the avoidance of doubt, a Participant who reduces his or her withholding rate for a future Option Period to zero (0%)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Plan will be deemed to have terminated his or her payroll deduction authorization and canceled his or her participation in the Plan as to such Option Period and all future Option Periods, unless the Participant delivers a new payroll deduction authorization for a subsequent Option Period in accordance with the rules of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of the Plan.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Termination of Employment; Death of Participant</w:t>
      </w:r>
    </w:p>
    <w:p>
      <w:pPr>
        <w:spacing w:after="0" w:line="121"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Upon the termination of a Participant’s employment with the Company or a Designated Subsidiary, as applicable, for any reason (including the death of a Participant during an Option Period prior to an Exercise Date) or in the event the Participant ceases to qualify as an Eligible Employee, the Participant will cease to be a Participant, any Option held by the Participant under the Plan will be canceled,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 Equal Rights; Participant’s Rights Not Transferable</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Participants granted Options in an offering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as determined by the Administrator in its sole discretion, any Options granted to the Participant under the Plan may be terminated by the Company and, upon the return to the Participant of the balance of his or her Account, without interest, all of the Participant’s rights under the Plan will terminate.</w:t>
      </w:r>
    </w:p>
    <w:p>
      <w:pPr>
        <w:spacing w:after="0" w:line="287" w:lineRule="exact"/>
        <w:rPr>
          <w:sz w:val="20"/>
          <w:szCs w:val="20"/>
          <w:color w:val="auto"/>
        </w:rPr>
      </w:pPr>
    </w:p>
    <w:p>
      <w:pPr>
        <w:ind w:left="264" w:hanging="264"/>
        <w:spacing w:after="0"/>
        <w:tabs>
          <w:tab w:leader="none" w:pos="26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Capitalization; Corporate Transaction</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699"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 in Capitalization</w:t>
      </w:r>
      <w:r>
        <w:rPr>
          <w:rFonts w:ascii="Times New Roman" w:cs="Times New Roman" w:eastAsia="Times New Roman" w:hAnsi="Times New Roman"/>
          <w:sz w:val="18"/>
          <w:szCs w:val="18"/>
          <w:color w:val="auto"/>
        </w:rPr>
        <w:t>. In the event of a stock dividend, stock split or combination of shares (including a reverse stock split),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recapitalization or other change in the Company’s capital structure that constitutes an equity restructuring within the meaning of the Accounting Rules, the Administrator shall make appropriate adjustments to the aggregate number and type of shares of stock available under the Plan, the number and type of shares of stock granted under any outstanding Options, the maximum number and type of shares of stock purchasable under any outstanding Option, and/or the Purchase Price under any outstanding Option, in any case, in a manner that complies with Section 423.</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709"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In the event of a sale of all or substantially all of the Stock or a sale of all or substantially all of the assets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or a merger or similar transaction 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of the Plan, terminate the Option Period on or before the date of the proposed sale, merger or similar transaction.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 Administration</w:t>
      </w:r>
    </w:p>
    <w:p>
      <w:pPr>
        <w:spacing w:after="0" w:line="121"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Plan will be administered by the Administrator. The Administrator has discretionary authority, subject only to the express provisions of the Plan, to administer and interpret the Plan; to determine eligibility under the Plan; to prescribe forms, rules and procedures relating to the Plan; and to otherwise do all things necessary or desirable to carry out the purposes of the Plan. Determinations of the Administrator made with respect to the Plan are conclusive and bind all persons.</w:t>
      </w:r>
    </w:p>
    <w:p>
      <w:pPr>
        <w:spacing w:after="0" w:line="180"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Administrator may specify the manner in which the Company and/or Employees are to provide notices and forms under the Plan, and may require that such notices and forms be submitted electronically.</w:t>
      </w:r>
    </w:p>
    <w:p>
      <w:pPr>
        <w:spacing w:after="0" w:line="266" w:lineRule="exact"/>
        <w:rPr>
          <w:sz w:val="20"/>
          <w:szCs w:val="20"/>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 of Plan</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68" w:lineRule="auto"/>
        <w:tabs>
          <w:tab w:leader="none" w:pos="699"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The Administrator reserves the right at any time or times to amend the Plan to any extent and in any manner it may 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amendment that would be treated as the adoption of a new plan for purposes of Section 423 will have no force or effect unless approved by the shareholders of the Company within twelve (12) months before or after its adoption.</w:t>
      </w:r>
    </w:p>
    <w:p>
      <w:pPr>
        <w:spacing w:after="0" w:line="170" w:lineRule="exact"/>
        <w:rPr>
          <w:rFonts w:ascii="Times New Roman" w:cs="Times New Roman" w:eastAsia="Times New Roman" w:hAnsi="Times New Roman"/>
          <w:sz w:val="18"/>
          <w:szCs w:val="18"/>
          <w:b w:val="1"/>
          <w:bCs w:val="1"/>
          <w:color w:val="auto"/>
        </w:rPr>
      </w:pPr>
    </w:p>
    <w:p>
      <w:pPr>
        <w:ind w:left="4" w:right="240" w:firstLine="436"/>
        <w:spacing w:after="0" w:line="262" w:lineRule="auto"/>
        <w:tabs>
          <w:tab w:leader="none" w:pos="709"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reserves the right at any time or times to suspend or terminate the Plan. In connection therewith,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may provide, in its sole discretion, either that outstanding Options will be exercisable on the Exercise Date for the applicable Option Period or on such earlier date as the Administrator may specify (in which case such earlier date will be treated as the Exercise Date for the applicable Option Period), or that the balance of each Participant’s Account will be returned to the Participant, without interest.</w:t>
      </w:r>
    </w:p>
    <w:p>
      <w:pPr>
        <w:spacing w:after="0" w:line="28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Shareholder approval of the Plan will be obtained prior to the date that is twelve (12) months after the date of Board approval. In the event that the Plan has not been approved by the shareholders of the Company prior to April 22, 2027, all Options to purchase shares of Stock under the Plan will be cancelled and become null and void.</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obligation of the Company to issue and deliver shares of Stock under the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 Participants’ Rights as Shareholders and Employees</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28" w:name="page29"/>
    <w:bookmarkEnd w:id="28"/>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spacing w:after="0" w:line="280" w:lineRule="exact"/>
        <w:rPr>
          <w:sz w:val="20"/>
          <w:szCs w:val="20"/>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Information Regarding Disqualifying Dispositions.</w:t>
      </w:r>
    </w:p>
    <w:p>
      <w:pPr>
        <w:spacing w:after="0" w:line="117" w:lineRule="exact"/>
        <w:rPr>
          <w:rFonts w:ascii="Times New Roman" w:cs="Times New Roman" w:eastAsia="Times New Roman" w:hAnsi="Times New Roman"/>
          <w:sz w:val="18"/>
          <w:szCs w:val="18"/>
          <w:b w:val="1"/>
          <w:bCs w:val="1"/>
          <w:color w:val="auto"/>
        </w:rPr>
      </w:pPr>
    </w:p>
    <w:p>
      <w:pPr>
        <w:ind w:left="4" w:right="140" w:firstLine="436"/>
        <w:spacing w:after="0" w:line="268" w:lineRule="auto"/>
        <w:tabs>
          <w:tab w:leader="none" w:pos="699"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Restrictions on Transfer</w:t>
      </w:r>
      <w:r>
        <w:rPr>
          <w:rFonts w:ascii="Times New Roman" w:cs="Times New Roman" w:eastAsia="Times New Roman" w:hAnsi="Times New Roman"/>
          <w:sz w:val="18"/>
          <w:szCs w:val="18"/>
          <w:color w:val="auto"/>
        </w:rPr>
        <w:t>. Shares of Stock purchased under the Plan may, in the discretion of the Administrator, be subject to a restriction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prohibiting the transfer, sale, pledge or alienation or such shares of Stock by a Participant, other than by will or by the laws of descent and distribution, for such period following such purchase as may be determined by the Administrator.</w:t>
      </w:r>
    </w:p>
    <w:p>
      <w:pPr>
        <w:spacing w:after="0" w:line="170" w:lineRule="exact"/>
        <w:rPr>
          <w:rFonts w:ascii="Times New Roman" w:cs="Times New Roman" w:eastAsia="Times New Roman" w:hAnsi="Times New Roman"/>
          <w:sz w:val="18"/>
          <w:szCs w:val="18"/>
          <w:b w:val="1"/>
          <w:bCs w:val="1"/>
          <w:color w:val="auto"/>
        </w:rPr>
      </w:pPr>
    </w:p>
    <w:p>
      <w:pPr>
        <w:ind w:left="4" w:right="120" w:firstLine="436"/>
        <w:spacing w:after="0" w:line="278" w:lineRule="auto"/>
        <w:tabs>
          <w:tab w:leader="none" w:pos="709" w:val="left"/>
        </w:tabs>
        <w:numPr>
          <w:ilvl w:val="1"/>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Disqualifying Dispositions</w:t>
      </w:r>
      <w:r>
        <w:rPr>
          <w:rFonts w:ascii="Times New Roman" w:cs="Times New Roman" w:eastAsia="Times New Roman" w:hAnsi="Times New Roman"/>
          <w:sz w:val="17"/>
          <w:szCs w:val="17"/>
          <w:color w:val="auto"/>
        </w:rPr>
        <w:t>. By electing to participate in the Plan, each Participant agrees to provide such information about any transfer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acquired under the Plan that occurs within two (2) years after the first day of the Option Period in which such Stock was acquired and within one</w:t>
      </w:r>
    </w:p>
    <w:p>
      <w:pPr>
        <w:spacing w:after="0" w:line="1" w:lineRule="exact"/>
        <w:rPr>
          <w:rFonts w:ascii="Times New Roman" w:cs="Times New Roman" w:eastAsia="Times New Roman" w:hAnsi="Times New Roman"/>
          <w:sz w:val="17"/>
          <w:szCs w:val="17"/>
          <w:b w:val="1"/>
          <w:bCs w:val="1"/>
          <w:color w:val="auto"/>
        </w:rPr>
      </w:pPr>
    </w:p>
    <w:p>
      <w:pPr>
        <w:ind w:left="4" w:right="30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 year after the day such Stock was purchased as may be requested by the Company or any Designated Subsidiary in order to assist it in complying with applicable tax laws.</w:t>
      </w:r>
    </w:p>
    <w:p>
      <w:pPr>
        <w:spacing w:after="0" w:line="285"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99"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By electing to participate in the Plan, each Participant waives (or will be deemed to have waived), to the maximum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permitted under applicable law, any right to a trial by jury in any action, proceeding or counterclaim concerning any rights under the Plan or with respect to any Option,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electing to participate in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in respect of any Option to binding arbitration or as limiting the ability of the Company to require any individual to agree to submit such disputes to binding arbitration as a condition of receiving an Option hereunder.</w:t>
      </w:r>
    </w:p>
    <w:p>
      <w:pPr>
        <w:spacing w:after="0" w:line="188" w:lineRule="exact"/>
        <w:rPr>
          <w:rFonts w:ascii="Times New Roman" w:cs="Times New Roman" w:eastAsia="Times New Roman" w:hAnsi="Times New Roman"/>
          <w:sz w:val="18"/>
          <w:szCs w:val="18"/>
          <w:b w:val="1"/>
          <w:bCs w:val="1"/>
          <w:color w:val="auto"/>
        </w:rPr>
      </w:pPr>
    </w:p>
    <w:p>
      <w:pPr>
        <w:ind w:left="4" w:firstLine="436"/>
        <w:spacing w:after="0" w:line="259" w:lineRule="auto"/>
        <w:tabs>
          <w:tab w:leader="none" w:pos="709"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Limitation of Liability</w:t>
      </w:r>
      <w:r>
        <w:rPr>
          <w:rFonts w:ascii="Times New Roman" w:cs="Times New Roman" w:eastAsia="Times New Roman" w:hAnsi="Times New Roman"/>
          <w:sz w:val="18"/>
          <w:szCs w:val="18"/>
          <w:color w:val="auto"/>
        </w:rPr>
        <w:t>. Notwithstanding anything to the contrary in the Plan, neither the Company, nor any of its subsidiaries, nor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the Plan or any Option to satisfy the requirements of Section 423, or otherwise asserted with respect to the Plan or any Option.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9" w:name="page30"/>
    <w:bookmarkEnd w:id="29"/>
    <w:p>
      <w:pPr>
        <w:ind w:left="4" w:right="180" w:firstLine="436"/>
        <w:spacing w:after="0" w:line="268" w:lineRule="auto"/>
        <w:tabs>
          <w:tab w:leader="none" w:pos="689"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Unfunded Plan</w:t>
      </w:r>
      <w:r>
        <w:rPr>
          <w:rFonts w:ascii="Times New Roman" w:cs="Times New Roman" w:eastAsia="Times New Roman" w:hAnsi="Times New Roman"/>
          <w:sz w:val="18"/>
          <w:szCs w:val="18"/>
          <w:color w:val="auto"/>
        </w:rPr>
        <w:t>. The Company’s obligations under the Plan are unfunded, and no Participant will have any right to specific assets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respect of any Option. Participants will be general unsecured creditors of the Company with respect to any amounts due or payable under the Plan.</w:t>
      </w:r>
    </w:p>
    <w:p>
      <w:pPr>
        <w:spacing w:after="0" w:line="278"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Sub-Plans</w:t>
      </w:r>
    </w:p>
    <w:p>
      <w:pPr>
        <w:spacing w:after="0" w:line="121"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or any provision of the Plan to the contrary, consistent with the requirements of Section 423, the Administrator may, in its sole discretion, amend the terms of the Plan, or an offering and/or provide for separate offerings under the Plan in order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284" w:lineRule="exact"/>
        <w:rPr>
          <w:sz w:val="20"/>
          <w:szCs w:val="20"/>
          <w:color w:val="auto"/>
        </w:rPr>
      </w:pPr>
    </w:p>
    <w:p>
      <w:pPr>
        <w:ind w:left="264" w:hanging="264"/>
        <w:spacing w:after="0"/>
        <w:tabs>
          <w:tab w:leader="none" w:pos="26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17" w:lineRule="exact"/>
        <w:rPr>
          <w:rFonts w:ascii="Times New Roman" w:cs="Times New Roman" w:eastAsia="Times New Roman" w:hAnsi="Times New Roman"/>
          <w:sz w:val="18"/>
          <w:szCs w:val="18"/>
          <w:b w:val="1"/>
          <w:bCs w:val="1"/>
          <w:color w:val="auto"/>
        </w:rPr>
      </w:pPr>
    </w:p>
    <w:p>
      <w:pPr>
        <w:ind w:left="4" w:right="480" w:firstLine="436"/>
        <w:spacing w:after="0" w:line="262" w:lineRule="auto"/>
        <w:tabs>
          <w:tab w:leader="none" w:pos="69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Requirements of Corporate Law</w:t>
      </w:r>
      <w:r>
        <w:rPr>
          <w:rFonts w:ascii="Times New Roman" w:cs="Times New Roman" w:eastAsia="Times New Roman" w:hAnsi="Times New Roman"/>
          <w:sz w:val="18"/>
          <w:szCs w:val="18"/>
          <w:color w:val="auto"/>
        </w:rPr>
        <w:t>. Options and shares of Stock will be granted, issued and administered consistent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6" w:lineRule="exact"/>
        <w:rPr>
          <w:rFonts w:ascii="Times New Roman" w:cs="Times New Roman" w:eastAsia="Times New Roman" w:hAnsi="Times New Roman"/>
          <w:sz w:val="18"/>
          <w:szCs w:val="18"/>
          <w:b w:val="1"/>
          <w:bCs w:val="1"/>
          <w:color w:val="auto"/>
        </w:rPr>
      </w:pPr>
    </w:p>
    <w:p>
      <w:pPr>
        <w:ind w:left="4" w:firstLine="436"/>
        <w:spacing w:after="0" w:line="262" w:lineRule="auto"/>
        <w:tabs>
          <w:tab w:leader="none" w:pos="70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Other Matters</w:t>
      </w:r>
      <w:r>
        <w:rPr>
          <w:rFonts w:ascii="Times New Roman" w:cs="Times New Roman" w:eastAsia="Times New Roman" w:hAnsi="Times New Roman"/>
          <w:sz w:val="18"/>
          <w:szCs w:val="18"/>
          <w:color w:val="auto"/>
        </w:rPr>
        <w:t>. Except as otherwise provided by the express terms of a sub-plan described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substantive laws of the State of Delaware govern the provisions of the Plan and of Options under the Plan and all claims or disputes arising out of or based upon the Plan or any Option or relating to the subject matter hereof or thereof without giving effect to any choice or conflict of laws provision or rule that would cause the application of the domestic substantive laws of any other jurisdiction.</w:t>
      </w:r>
    </w:p>
    <w:p>
      <w:pPr>
        <w:spacing w:after="0" w:line="176" w:lineRule="exact"/>
        <w:rPr>
          <w:rFonts w:ascii="Times New Roman" w:cs="Times New Roman" w:eastAsia="Times New Roman" w:hAnsi="Times New Roman"/>
          <w:sz w:val="18"/>
          <w:szCs w:val="18"/>
          <w:b w:val="1"/>
          <w:bCs w:val="1"/>
          <w:color w:val="auto"/>
        </w:rPr>
      </w:pPr>
    </w:p>
    <w:p>
      <w:pPr>
        <w:ind w:left="4" w:right="20" w:firstLine="436"/>
        <w:spacing w:after="0" w:line="255" w:lineRule="auto"/>
        <w:tabs>
          <w:tab w:leader="none" w:pos="68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Jurisdiction</w:t>
      </w:r>
      <w:r>
        <w:rPr>
          <w:rFonts w:ascii="Times New Roman" w:cs="Times New Roman" w:eastAsia="Times New Roman" w:hAnsi="Times New Roman"/>
          <w:sz w:val="18"/>
          <w:szCs w:val="18"/>
          <w:color w:val="auto"/>
        </w:rPr>
        <w:t>. By electing to participant in the Plan, each Participant agrees or will be deemed to have agreed to (i) submit irrevocably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unconditionally to the jurisdiction of the federal and state courts located within the geographic boundaries of the United States District Court for the District of Massachusetts for the purpose of any suit, action or other proceeding arising out of or based upon the Plan or any Option; (ii) not commence any suit, action or other proceeding arising out of or based upon the Plan or any Option, except in the federal and state courts located within the geographic boundaries of the United States District Court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Option or the subject matter thereof may not be enforced in or by such court.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 Effective Date and Term</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Plan will become effective upon adoption of the Plan by the Board and no rights will be granted hereunder after the earliest to occur of (i) the Plan’s termination by the Company; (ii) the issuance of all shares of Stock available for issuance under the Plan; and (iii) the day before the ten-(10) year anniversary of the date the Board approves the Plan.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6" w:right="51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Terms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when used in the Plan, will have the meanings and be subject to the provisions set forth below:</w:t>
      </w:r>
    </w:p>
    <w:p>
      <w:pPr>
        <w:spacing w:after="0" w:line="11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A savings plan qualifying under Section 401(k) of the Code that is sponsored by the Company or one of its Subsidiaries for the benefit of its employees.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A notional payroll deduction account maintained in the Participant’s name on the books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Rules</w:t>
      </w:r>
      <w:r>
        <w:rPr>
          <w:rFonts w:ascii="Times New Roman" w:cs="Times New Roman" w:eastAsia="Times New Roman" w:hAnsi="Times New Roman"/>
          <w:sz w:val="18"/>
          <w:szCs w:val="18"/>
          <w:color w:val="auto"/>
        </w:rPr>
        <w:t>”: Financial Accounting Standards Board Accounting Standards Codification Topic 718, or any successor provision.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Compensation Committee of the Board, except that the Compensation Committee may delegate its 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Any day on which the established national exchange or trading system (including the Nasdaq Global Stock Market) on which the Stock is traded is available and open for trading.</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U.S. Internal Revenue Code of 1986, as from time to time amended and in effect, or any successor statute as from time to time in effect, including any applicable regulations and guidance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Sarepta Therapeutics, Inc., a Delaware corporation.</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A Subsidiary of the Company that has been designated by the Board or the Compensation Committee of the Board from time to time as eligible to participate in the Plan. For the avoidance of doubt, any Subsidiary of the Company, whether or not a Subsidiary on the Effective Date, shall be eligible to be designated as a Designated Subsidiary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date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Compensation</w:t>
      </w:r>
      <w:r>
        <w:rPr>
          <w:rFonts w:ascii="Times New Roman" w:cs="Times New Roman" w:eastAsia="Times New Roman" w:hAnsi="Times New Roman"/>
          <w:sz w:val="18"/>
          <w:szCs w:val="18"/>
          <w:color w:val="auto"/>
        </w:rPr>
        <w:t>”: All base regular earnings and overtime pay, exclusive of commissions, incentive compensation, incentive payments, bonuses, expense reimbursements, fringe benefits and other compensation.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w:t>
      </w:r>
    </w:p>
    <w:p>
      <w:pPr>
        <w:sectPr>
          <w:pgSz w:w="11900" w:h="16838" w:orient="portrait"/>
          <w:cols w:equalWidth="0" w:num="1">
            <w:col w:w="10980"/>
          </w:cols>
          <w:pgMar w:left="440" w:top="266" w:right="47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xml:space="preserve">”: Any Employee who meets the eligibility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Any person who is employed by the Company or a Designated Subsidiary. For the avoidance of doubt, independent contractors and consultants are not “Employees”.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The date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Plan or otherwise designated by the Administrator with respect to a particular Option Period on which a Participant will be deemed to have exercised the Option granted to him or her for such Option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19"/>
        <w:spacing w:after="0" w:line="266" w:lineRule="auto"/>
        <w:tabs>
          <w:tab w:leader="none" w:pos="10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is readily traded on an established national exchange or trading system (including the Nasdaq Global Stock Market), the closing price of a share of Stock as reported by the principal exchange on which such Stock is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day is not a trading day, Fair Market Value will mean the reported closing price of a share of Stock for the immediately preceding day that is a trading day.</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not traded on an established national exchange or trading system, the average of the bid and ask prices for shares of Stock where the bid and ask prices are quoted.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cannot be valued pursuant to clauses (i) or (ii), the value as determined in good faith by the Board in its sole discretion.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Share Limit</w:t>
      </w:r>
      <w:r>
        <w:rPr>
          <w:rFonts w:ascii="Times New Roman" w:cs="Times New Roman" w:eastAsia="Times New Roman" w:hAnsi="Times New Roman"/>
          <w:sz w:val="18"/>
          <w:szCs w:val="18"/>
          <w:color w:val="auto"/>
        </w:rPr>
        <w:t xml:space="preserve">”: The meaning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 option granted pursuant to the Plan entitling the holder to acquire shares of Stock upon payment of the Purchase Price per share of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xml:space="preserve">”: An offering period established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 “parent corporation” as defined in Section 424(e)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Eligible Employee who elects to participate in an Option Period under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Sarepta Therapeutics, Inc. 2026 Employee Stock Purchase Plan, as from time to time amended and in effect.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price per share of Stock with respect to an Option Period determined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Section 423 of the Code and the regulations thereunder.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Common stock of the Company,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A “subsidiary corporation” as defined in Section 424(f) of the Code.</w:t>
      </w:r>
    </w:p>
    <w:p>
      <w:pPr>
        <w:spacing w:after="0" w:line="16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A-3</w:t>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04"/>
    </w:lvl>
  </w:abstractNum>
  <w:abstractNum w:abstractNumId="2">
    <w:nsid w:val="8EDBDAB"/>
    <w:multiLevelType w:val="hybridMultilevel"/>
    <w:lvl w:ilvl="0">
      <w:lvlJc w:val="left"/>
      <w:lvlText w:val="%1."/>
      <w:numFmt w:val="decimal"/>
      <w:start w:val="4"/>
    </w:lvl>
    <w:lvl w:ilvl="1">
      <w:lvlJc w:val="left"/>
      <w:lvlText w:val="(%2)"/>
      <w:numFmt w:val="lowerLetter"/>
      <w:start w:val="1"/>
    </w:lvl>
  </w:abstractNum>
  <w:abstractNum w:abstractNumId="3">
    <w:nsid w:val="79838CB2"/>
    <w:multiLevelType w:val="hybridMultilevel"/>
    <w:lvl w:ilvl="0">
      <w:lvlJc w:val="left"/>
      <w:lvlText w:val="(%1)"/>
      <w:numFmt w:val="upperLetter"/>
      <w:start w:val="35"/>
    </w:lvl>
    <w:lvl w:ilvl="1">
      <w:lvlJc w:val="left"/>
      <w:lvlText w:val="(%2)"/>
      <w:numFmt w:val="lowerLetter"/>
      <w:start w:val="2"/>
    </w:lvl>
  </w:abstractNum>
  <w:abstractNum w:abstractNumId="4">
    <w:nsid w:val="4353D0C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
    <w:nsid w:val="B03E0C6"/>
    <w:multiLevelType w:val="hybridMultilevel"/>
    <w:lvl w:ilvl="0">
      <w:lvlJc w:val="left"/>
      <w:lvlText w:val="%1"/>
      <w:numFmt w:val="decimal"/>
      <w:start w:val="1"/>
    </w:lvl>
    <w:lvl w:ilvl="1">
      <w:lvlJc w:val="left"/>
      <w:lvlText w:val="(%2)"/>
      <w:numFmt w:val="upperLetter"/>
      <w:start w:val="1"/>
    </w:lvl>
  </w:abstractNum>
  <w:abstractNum w:abstractNumId="6">
    <w:nsid w:val="189A769B"/>
    <w:multiLevelType w:val="hybridMultilevel"/>
    <w:lvl w:ilvl="0">
      <w:lvlJc w:val="left"/>
      <w:lvlText w:val="(%1)"/>
      <w:numFmt w:val="decimal"/>
      <w:start w:val="5"/>
    </w:lvl>
    <w:lvl w:ilvl="1">
      <w:lvlJc w:val="left"/>
      <w:lvlText w:val="%2"/>
      <w:numFmt w:val="upperLetter"/>
      <w:start w:val="1"/>
    </w:lvl>
  </w:abstractNum>
  <w:abstractNum w:abstractNumId="7">
    <w:nsid w:val="54E49EB4"/>
    <w:multiLevelType w:val="hybridMultilevel"/>
    <w:lvl w:ilvl="0">
      <w:lvlJc w:val="left"/>
      <w:lvlText w:val="%1"/>
      <w:numFmt w:val="lowerRoman"/>
      <w:start w:val="1"/>
    </w:lvl>
    <w:lvl w:ilvl="1">
      <w:lvlJc w:val="left"/>
      <w:lvlText w:val="(%2)"/>
      <w:numFmt w:val="decimal"/>
      <w:start w:val="6"/>
    </w:lvl>
  </w:abstractNum>
  <w:abstractNum w:abstractNumId="8">
    <w:nsid w:val="71F32454"/>
    <w:multiLevelType w:val="hybridMultilevel"/>
    <w:lvl w:ilvl="0">
      <w:lvlJc w:val="left"/>
      <w:lvlText w:val="(%1)"/>
      <w:numFmt w:val="lowerRoman"/>
      <w:start w:val="1"/>
    </w:lvl>
    <w:lvl w:ilvl="1">
      <w:lvlJc w:val="left"/>
      <w:lvlText w:val="%2"/>
      <w:numFmt w:val="decimal"/>
      <w:start w:val="1"/>
    </w:lvl>
  </w:abstractNum>
  <w:abstractNum w:abstractNumId="9">
    <w:nsid w:val="2CA88611"/>
    <w:multiLevelType w:val="hybridMultilevel"/>
    <w:lvl w:ilvl="0">
      <w:lvlJc w:val="left"/>
      <w:lvlText w:val="(%1)"/>
      <w:numFmt w:val="decimal"/>
      <w:start w:val="8"/>
    </w:lvl>
    <w:lvl w:ilvl="1">
      <w:lvlJc w:val="left"/>
      <w:lvlText w:val="(%2)"/>
      <w:numFmt w:val="upperLetter"/>
      <w:start w:val="1"/>
    </w:lvl>
  </w:abstractNum>
  <w:abstractNum w:abstractNumId="10">
    <w:nsid w:val="836C40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1">
    <w:nsid w:val="2901D8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
    <w:nsid w:val="3A95F874"/>
    <w:multiLevelType w:val="hybridMultilevel"/>
    <w:lvl w:ilvl="0">
      <w:lvlJc w:val="left"/>
      <w:lvlText w:val="%1"/>
      <w:numFmt w:val="lowerRoman"/>
      <w:start w:val="1"/>
    </w:lvl>
    <w:lvl w:ilvl="1">
      <w:lvlJc w:val="left"/>
      <w:lvlText w:val="(%2)"/>
      <w:numFmt w:val="decimal"/>
      <w:start w:val="3"/>
    </w:lvl>
  </w:abstractNum>
  <w:abstractNum w:abstractNumId="13">
    <w:nsid w:val="8138641"/>
    <w:multiLevelType w:val="hybridMultilevel"/>
    <w:lvl w:ilvl="0">
      <w:lvlJc w:val="left"/>
      <w:lvlText w:val="(%1)"/>
      <w:numFmt w:val="lowerRoman"/>
      <w:start w:val="1"/>
    </w:lvl>
    <w:lvl w:ilvl="1">
      <w:lvlJc w:val="left"/>
      <w:lvlText w:val="(%2)"/>
      <w:numFmt w:val="decimal"/>
      <w:start w:val="4"/>
    </w:lvl>
  </w:abstractNum>
  <w:abstractNum w:abstractNumId="14">
    <w:nsid w:val="1E7FF521"/>
    <w:multiLevelType w:val="hybridMultilevel"/>
    <w:lvl w:ilvl="0">
      <w:lvlJc w:val="left"/>
      <w:lvlText w:val="(%1)"/>
      <w:numFmt w:val="decimal"/>
      <w:start w:val="5"/>
    </w:lvl>
    <w:lvl w:ilvl="1">
      <w:lvlJc w:val="left"/>
      <w:lvlText w:val="(%2)"/>
      <w:numFmt w:val="decimal"/>
      <w:start w:val="5"/>
    </w:lvl>
  </w:abstractNum>
  <w:abstractNum w:abstractNumId="15">
    <w:nsid w:val="7C3DBD3D"/>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6">
    <w:nsid w:val="737B8DDC"/>
    <w:multiLevelType w:val="hybridMultilevel"/>
    <w:lvl w:ilvl="0">
      <w:lvlJc w:val="left"/>
      <w:lvlText w:val="%1"/>
      <w:numFmt w:val="decimal"/>
      <w:start w:val="1"/>
    </w:lvl>
    <w:lvl w:ilvl="1">
      <w:lvlJc w:val="left"/>
      <w:lvlText w:val="(%2)"/>
      <w:numFmt w:val="decimal"/>
      <w:start w:val="2"/>
    </w:lvl>
  </w:abstractNum>
  <w:abstractNum w:abstractNumId="17">
    <w:nsid w:val="6CEAF087"/>
    <w:multiLevelType w:val="hybridMultilevel"/>
    <w:lvl w:ilvl="0">
      <w:lvlJc w:val="left"/>
      <w:lvlText w:val="(%1)"/>
      <w:numFmt w:val="decimal"/>
      <w:start w:val="4"/>
    </w:lvl>
    <w:lvl w:ilvl="1">
      <w:lvlJc w:val="left"/>
      <w:lvlText w:val="(%2)"/>
      <w:numFmt w:val="decimal"/>
      <w:start w:val="3"/>
    </w:lvl>
  </w:abstractNum>
  <w:abstractNum w:abstractNumId="18">
    <w:nsid w:val="22221A70"/>
    <w:multiLevelType w:val="hybridMultilevel"/>
    <w:lvl w:ilvl="0">
      <w:lvlJc w:val="left"/>
      <w:lvlText w:val="(%1)"/>
      <w:numFmt w:val="decimal"/>
      <w:start w:val="2"/>
    </w:lvl>
    <w:lvl w:ilvl="1">
      <w:lvlJc w:val="left"/>
      <w:lvlText w:val="%2"/>
      <w:numFmt w:val="decimal"/>
      <w:start w:val="1"/>
    </w:lvl>
  </w:abstractNum>
  <w:abstractNum w:abstractNumId="19">
    <w:nsid w:val="4516DD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20">
    <w:nsid w:val="3006C83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1">
    <w:nsid w:val="614FD4A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2">
    <w:nsid w:val="419AC241"/>
    <w:multiLevelType w:val="hybridMultilevel"/>
    <w:lvl w:ilvl="0">
      <w:lvlJc w:val="left"/>
      <w:lvlText w:val="%1."/>
      <w:numFmt w:val="decimal"/>
      <w:start w:val="11"/>
    </w:lvl>
    <w:lvl w:ilvl="1">
      <w:lvlJc w:val="left"/>
      <w:lvlText w:val="(%2)"/>
      <w:numFmt w:val="lowerLetter"/>
      <w:start w:val="1"/>
    </w:lvl>
  </w:abstractNum>
  <w:abstractNum w:abstractNumId="23">
    <w:nsid w:val="5577F8E1"/>
    <w:multiLevelType w:val="hybridMultilevel"/>
    <w:lvl w:ilvl="0">
      <w:lvlJc w:val="left"/>
      <w:lvlText w:val="(%1)"/>
      <w:numFmt w:val="lowerLetter"/>
      <w:start w:val="3"/>
    </w:lvl>
  </w:abstractNum>
  <w:abstractNum w:abstractNumId="24">
    <w:nsid w:val="440BADFC"/>
    <w:multiLevelType w:val="hybridMultilevel"/>
    <w:lvl w:ilvl="0">
      <w:lvlJc w:val="left"/>
      <w:lvlText w:val="%1."/>
      <w:numFmt w:val="decimal"/>
      <w:start w:val="13"/>
    </w:lvl>
    <w:lvl w:ilvl="1">
      <w:lvlJc w:val="left"/>
      <w:lvlText w:val="(%2)"/>
      <w:numFmt w:val="lowerLetter"/>
      <w:start w:val="1"/>
    </w:lvl>
  </w:abstractNum>
  <w:abstractNum w:abstractNumId="25">
    <w:nsid w:val="5072367"/>
    <w:multiLevelType w:val="hybridMultilevel"/>
    <w:lvl w:ilvl="0">
      <w:lvlJc w:val="left"/>
      <w:lvlText w:val="(%1)"/>
      <w:numFmt w:val="lowerRoman"/>
      <w:start w:val="1"/>
    </w:lvl>
  </w:abstractNum>
  <w:abstractNum w:abstractNumId="26">
    <w:nsid w:val="3804823E"/>
    <w:multiLevelType w:val="hybridMultilevel"/>
    <w:lvl w:ilvl="0">
      <w:lvlJc w:val="left"/>
      <w:lvlText w:val="%1"/>
      <w:numFmt w:val="decimal"/>
      <w:start w:val="1"/>
    </w:lvl>
    <w:lvl w:ilvl="1">
      <w:lvlJc w:val="left"/>
      <w:lvlText w:val="(%2)"/>
      <w:numFmt w:val="lowerRoman"/>
      <w:start w:val="1"/>
    </w:lvl>
  </w:abstractNum>
  <w:abstractNum w:abstractNumId="27">
    <w:nsid w:val="77465F01"/>
    <w:multiLevelType w:val="hybridMultilevel"/>
    <w:lvl w:ilvl="0">
      <w:lvlJc w:val="left"/>
      <w:lvlText w:val="(%1)"/>
      <w:numFmt w:val="decimal"/>
      <w:start w:val="12"/>
    </w:lvl>
    <w:lvl w:ilvl="1">
      <w:lvlJc w:val="left"/>
      <w:lvlText w:val="(%2)"/>
      <w:numFmt w:val="lowerRoman"/>
      <w:start w:val="3"/>
    </w:lvl>
  </w:abstractNum>
  <w:abstractNum w:abstractNumId="28">
    <w:nsid w:val="7724C67E"/>
    <w:multiLevelType w:val="hybridMultilevel"/>
    <w:lvl w:ilvl="0">
      <w:lvlJc w:val="left"/>
      <w:lvlText w:val="(%1)"/>
      <w:numFmt w:val="decimal"/>
      <w:start w:val="2"/>
    </w:lvl>
  </w:abstractNum>
  <w:abstractNum w:abstractNumId="29">
    <w:nsid w:val="5C482A97"/>
    <w:multiLevelType w:val="hybridMultilevel"/>
    <w:lvl w:ilvl="0">
      <w:lvlJc w:val="left"/>
      <w:lvlText w:val="(%1)"/>
      <w:numFmt w:val="decimal"/>
      <w:start w:val="4"/>
    </w:lvl>
  </w:abstractNum>
  <w:abstractNum w:abstractNumId="30">
    <w:nsid w:val="2463B9EA"/>
    <w:multiLevelType w:val="hybridMultilevel"/>
    <w:lvl w:ilvl="0">
      <w:lvlJc w:val="left"/>
      <w:lvlText w:val="(%1)"/>
      <w:numFmt w:val="upperLetter"/>
      <w:start w:val="1"/>
    </w:lvl>
  </w:abstractNum>
  <w:abstractNum w:abstractNumId="31">
    <w:nsid w:val="5E884ADC"/>
    <w:multiLevelType w:val="hybridMultilevel"/>
    <w:lvl w:ilvl="0">
      <w:lvlJc w:val="left"/>
      <w:lvlText w:val="%1."/>
      <w:numFmt w:val="decimal"/>
      <w:start w:val="4"/>
    </w:lvl>
    <w:lvl w:ilvl="1">
      <w:lvlJc w:val="left"/>
      <w:lvlText w:val="(%2)"/>
      <w:numFmt w:val="lowerLetter"/>
      <w:start w:val="1"/>
    </w:lvl>
  </w:abstractNum>
  <w:abstractNum w:abstractNumId="32">
    <w:nsid w:val="51EAD36B"/>
    <w:multiLevelType w:val="hybridMultilevel"/>
    <w:lvl w:ilvl="0">
      <w:lvlJc w:val="left"/>
      <w:lvlText w:val="%1"/>
      <w:numFmt w:val="decimal"/>
      <w:start w:val="1"/>
    </w:lvl>
    <w:lvl w:ilvl="1">
      <w:lvlJc w:val="left"/>
      <w:lvlText w:val="(%2)"/>
      <w:numFmt w:val="lowerLetter"/>
      <w:start w:val="3"/>
    </w:lvl>
  </w:abstractNum>
  <w:abstractNum w:abstractNumId="33">
    <w:nsid w:val="2D517796"/>
    <w:multiLevelType w:val="hybridMultilevel"/>
    <w:lvl w:ilvl="0">
      <w:lvlJc w:val="left"/>
      <w:lvlText w:val="%1."/>
      <w:numFmt w:val="decimal"/>
      <w:start w:val="5"/>
    </w:lvl>
    <w:lvl w:ilvl="1">
      <w:lvlJc w:val="left"/>
      <w:lvlText w:val="%2"/>
      <w:numFmt w:val="lowerLetter"/>
      <w:start w:val="1"/>
    </w:lvl>
  </w:abstractNum>
  <w:abstractNum w:abstractNumId="34">
    <w:nsid w:val="580BD78F"/>
    <w:multiLevelType w:val="hybridMultilevel"/>
    <w:lvl w:ilvl="0">
      <w:lvlJc w:val="left"/>
      <w:lvlText w:val="%1."/>
      <w:numFmt w:val="decimal"/>
      <w:start w:val="7"/>
    </w:lvl>
    <w:lvl w:ilvl="1">
      <w:lvlJc w:val="left"/>
      <w:lvlText w:val="(%2)"/>
      <w:numFmt w:val="lowerLetter"/>
      <w:start w:val="1"/>
    </w:lvl>
  </w:abstractNum>
  <w:abstractNum w:abstractNumId="35">
    <w:nsid w:val="153EA438"/>
    <w:multiLevelType w:val="hybridMultilevel"/>
    <w:lvl w:ilvl="0">
      <w:lvlJc w:val="left"/>
      <w:lvlText w:val="(%1)"/>
      <w:numFmt w:val="lowerLetter"/>
      <w:start w:val="3"/>
    </w:lvl>
  </w:abstractNum>
  <w:abstractNum w:abstractNumId="36">
    <w:nsid w:val="3855585C"/>
    <w:multiLevelType w:val="hybridMultilevel"/>
    <w:lvl w:ilvl="0">
      <w:lvlJc w:val="left"/>
      <w:lvlText w:val="%1."/>
      <w:numFmt w:val="decimal"/>
      <w:start w:val="10"/>
    </w:lvl>
    <w:lvl w:ilvl="1">
      <w:lvlJc w:val="left"/>
      <w:lvlText w:val="(%2)"/>
      <w:numFmt w:val="lowerLetter"/>
      <w:start w:val="1"/>
    </w:lvl>
  </w:abstractNum>
  <w:abstractNum w:abstractNumId="37">
    <w:nsid w:val="70A64E2A"/>
    <w:multiLevelType w:val="hybridMultilevel"/>
    <w:lvl w:ilvl="0">
      <w:lvlJc w:val="left"/>
      <w:lvlText w:val="%1"/>
      <w:numFmt w:val="decimal"/>
      <w:start w:val="1"/>
    </w:lvl>
    <w:lvl w:ilvl="1">
      <w:lvlJc w:val="left"/>
      <w:lvlText w:val="(%2)"/>
      <w:numFmt w:val="lowerLetter"/>
      <w:start w:val="2"/>
    </w:lvl>
  </w:abstractNum>
  <w:abstractNum w:abstractNumId="38">
    <w:nsid w:val="6A2342EC"/>
    <w:multiLevelType w:val="hybridMultilevel"/>
    <w:lvl w:ilvl="0">
      <w:lvlJc w:val="left"/>
      <w:lvlText w:val="%1."/>
      <w:numFmt w:val="decimal"/>
      <w:start w:val="11"/>
    </w:lvl>
    <w:lvl w:ilvl="1">
      <w:lvlJc w:val="left"/>
      <w:lvlText w:val="%2"/>
      <w:numFmt w:val="lowerLetter"/>
      <w:start w:val="1"/>
    </w:lvl>
  </w:abstractNum>
  <w:abstractNum w:abstractNumId="39">
    <w:nsid w:val="2A487CB0"/>
    <w:multiLevelType w:val="hybridMultilevel"/>
    <w:lvl w:ilvl="0">
      <w:lvlJc w:val="left"/>
      <w:lvlText w:val="%1."/>
      <w:numFmt w:val="decimal"/>
      <w:start w:val="16"/>
    </w:lvl>
    <w:lvl w:ilvl="1">
      <w:lvlJc w:val="left"/>
      <w:lvlText w:val="(%2)"/>
      <w:numFmt w:val="lowerLetter"/>
      <w:start w:val="1"/>
    </w:lvl>
  </w:abstractNum>
  <w:abstractNum w:abstractNumId="40">
    <w:nsid w:val="1D4ED43B"/>
    <w:multiLevelType w:val="hybridMultilevel"/>
    <w:lvl w:ilvl="0">
      <w:lvlJc w:val="left"/>
      <w:lvlText w:val="%1."/>
      <w:numFmt w:val="decimal"/>
      <w:start w:val="18"/>
    </w:lvl>
    <w:lvl w:ilvl="1">
      <w:lvlJc w:val="left"/>
      <w:lvlText w:val="(%2)"/>
      <w:numFmt w:val="lowerLetter"/>
      <w:start w:val="1"/>
    </w:lvl>
  </w:abstractNum>
  <w:abstractNum w:abstractNumId="41">
    <w:nsid w:val="725A06FB"/>
    <w:multiLevelType w:val="hybridMultilevel"/>
    <w:lvl w:ilvl="0">
      <w:lvlJc w:val="left"/>
      <w:lvlText w:val="%1."/>
      <w:numFmt w:val="decimal"/>
      <w:start w:val="2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3"/>
    </w:lvl>
  </w:abstractNum>
  <w:abstractNum w:abstractNumId="43">
    <w:nsid w:val="57E4CCAF"/>
    <w:multiLevelType w:val="hybridMultilevel"/>
    <w:lvl w:ilvl="0">
      <w:lvlJc w:val="left"/>
      <w:lvlText w:val="%1."/>
      <w:numFmt w:val="decimal"/>
      <w:start w:val="23"/>
    </w:lvl>
    <w:lvl w:ilvl="1">
      <w:lvlJc w:val="left"/>
      <w:lvlText w:val="%2"/>
      <w:numFmt w:val="lowerLetter"/>
      <w:start w:val="1"/>
    </w:lvl>
  </w:abstractNum>
  <w:abstractNum w:abstractNumId="44">
    <w:nsid w:val="7A6D8D3C"/>
    <w:multiLevelType w:val="hybridMultilevel"/>
    <w:lvl w:ilvl="0">
      <w:lvlJc w:val="left"/>
      <w:lvlText w:val="%1."/>
      <w:numFmt w:val="decimal"/>
      <w:start w:val="24"/>
    </w:lvl>
    <w:lvl w:ilvl="1">
      <w:lvlJc w:val="left"/>
      <w:lvlText w:val="(%2)"/>
      <w:numFmt w:val="lowerLetter"/>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2026-06-04T15:42:16Z</dcterms:created>
  <dcterms:modified xsi:type="dcterms:W3CDTF">2026-06-04T15:42:16Z</dcterms:modified>
</cp:coreProperties>
</file>