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09"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28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ind w:left="480" w:hanging="459"/>
        <w:spacing w:after="0" w:line="187" w:lineRule="auto"/>
        <w:tabs>
          <w:tab w:leader="none" w:pos="480" w:val="left"/>
        </w:tabs>
        <w:numPr>
          <w:ilvl w:val="0"/>
          <w:numId w:val="2"/>
        </w:numPr>
        <w:rPr>
          <w:rFonts w:ascii="MS PGothic" w:cs="MS PGothic" w:eastAsia="MS PGothic" w:hAnsi="MS PGothic"/>
          <w:sz w:val="7"/>
          <w:szCs w:val="7"/>
          <w:color w:val="auto"/>
          <w:highlight w:val="black"/>
        </w:rPr>
      </w:pPr>
      <w:r>
        <w:rPr>
          <w:rFonts w:ascii="Arial" w:cs="Arial" w:eastAsia="Arial" w:hAnsi="Arial"/>
          <w:sz w:val="7"/>
          <w:szCs w:val="7"/>
          <w:b w:val="1"/>
          <w:bCs w:val="1"/>
          <w:color w:val="auto"/>
        </w:rPr>
        <w:t>TRANSITION REPORT PURSUANT TO SECTION 13 OR 15(d) OF THE SECURITIES EXCHANGE ACT OF 1934 FOR THE</w:t>
      </w:r>
    </w:p>
    <w:p>
      <w:pPr>
        <w:spacing w:after="0" w:line="162"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240"/>
          </w:cols>
          <w:pgMar w:left="320" w:top="573" w:right="339" w:bottom="1440" w:gutter="0" w:footer="0" w:header="0"/>
        </w:sectPr>
      </w:pPr>
    </w:p>
    <w:p>
      <w:pPr>
        <w:spacing w:after="0" w:line="36"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001-14895</w:t>
      </w:r>
    </w:p>
    <w:p>
      <w:pPr>
        <w:spacing w:after="0" w:line="124" w:lineRule="exact"/>
        <w:rPr>
          <w:sz w:val="24"/>
          <w:szCs w:val="24"/>
          <w:color w:val="auto"/>
        </w:rPr>
      </w:pPr>
    </w:p>
    <w:p>
      <w:pPr>
        <w:sectPr>
          <w:pgSz w:w="11900" w:h="16838" w:orient="portrait"/>
          <w:cols w:equalWidth="0" w:num="2">
            <w:col w:w="6180" w:space="60"/>
            <w:col w:w="5000"/>
          </w:cols>
          <w:pgMar w:left="320" w:top="573" w:right="339" w:bottom="1440" w:gutter="0" w:footer="0" w:header="0"/>
          <w:type w:val="continuous"/>
        </w:sectPr>
      </w:pPr>
    </w:p>
    <w:p>
      <w:pPr>
        <w:jc w:val="center"/>
        <w:spacing w:after="0"/>
        <w:rPr>
          <w:sz w:val="20"/>
          <w:szCs w:val="20"/>
          <w:color w:val="auto"/>
        </w:rPr>
      </w:pPr>
      <w:r>
        <w:rPr>
          <w:rFonts w:ascii="Arial" w:cs="Arial" w:eastAsia="Arial" w:hAnsi="Arial"/>
          <w:sz w:val="36"/>
          <w:szCs w:val="36"/>
          <w:b w:val="1"/>
          <w:bCs w:val="1"/>
          <w:color w:val="auto"/>
        </w:rPr>
        <w:t>Sarepta Therapeutics,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jc w:val="center"/>
              <w:ind w:left="1163"/>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480" w:type="dxa"/>
            <w:vAlign w:val="bottom"/>
            <w:gridSpan w:val="2"/>
          </w:tcPr>
          <w:p>
            <w:pPr>
              <w:jc w:val="right"/>
              <w:ind w:right="2285"/>
              <w:spacing w:after="0"/>
              <w:rPr>
                <w:sz w:val="20"/>
                <w:szCs w:val="20"/>
                <w:color w:val="auto"/>
              </w:rPr>
            </w:pPr>
            <w:r>
              <w:rPr>
                <w:rFonts w:ascii="Arial" w:cs="Arial" w:eastAsia="Arial" w:hAnsi="Arial"/>
                <w:sz w:val="16"/>
                <w:szCs w:val="16"/>
                <w:b w:val="1"/>
                <w:bCs w:val="1"/>
                <w:color w:val="auto"/>
              </w:rPr>
              <w:t>93-0797222</w:t>
            </w:r>
          </w:p>
        </w:tc>
        <w:tc>
          <w:tcPr>
            <w:tcW w:w="0" w:type="dxa"/>
            <w:vAlign w:val="bottom"/>
          </w:tcPr>
          <w:p>
            <w:pPr>
              <w:spacing w:after="0"/>
              <w:rPr>
                <w:sz w:val="1"/>
                <w:szCs w:val="1"/>
                <w:color w:val="auto"/>
              </w:rPr>
            </w:pPr>
          </w:p>
        </w:tc>
      </w:tr>
      <w:tr>
        <w:trPr>
          <w:trHeight w:val="144"/>
        </w:trPr>
        <w:tc>
          <w:tcPr>
            <w:tcW w:w="4280" w:type="dxa"/>
            <w:vAlign w:val="bottom"/>
          </w:tcPr>
          <w:p>
            <w:pPr>
              <w:jc w:val="center"/>
              <w:ind w:left="1163"/>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60" w:type="dxa"/>
            <w:vAlign w:val="bottom"/>
          </w:tcPr>
          <w:p>
            <w:pPr>
              <w:jc w:val="center"/>
              <w:ind w:right="1145"/>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80" w:type="dxa"/>
            <w:vAlign w:val="bottom"/>
          </w:tcPr>
          <w:p>
            <w:pPr>
              <w:jc w:val="center"/>
              <w:ind w:left="1163"/>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ind w:left="800"/>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232"/>
        </w:trPr>
        <w:tc>
          <w:tcPr>
            <w:tcW w:w="4280" w:type="dxa"/>
            <w:vAlign w:val="bottom"/>
          </w:tcPr>
          <w:p>
            <w:pPr>
              <w:jc w:val="center"/>
              <w:ind w:left="1163"/>
              <w:spacing w:after="0"/>
              <w:rPr>
                <w:sz w:val="20"/>
                <w:szCs w:val="20"/>
                <w:color w:val="auto"/>
              </w:rPr>
            </w:pPr>
            <w:r>
              <w:rPr>
                <w:rFonts w:ascii="Arial" w:cs="Arial" w:eastAsia="Arial" w:hAnsi="Arial"/>
                <w:sz w:val="16"/>
                <w:szCs w:val="16"/>
                <w:b w:val="1"/>
                <w:bCs w:val="1"/>
                <w:color w:val="auto"/>
                <w:w w:val="93"/>
              </w:rPr>
              <w:t>215 First Street</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280" w:type="dxa"/>
            <w:vAlign w:val="bottom"/>
          </w:tcPr>
          <w:p>
            <w:pPr>
              <w:jc w:val="center"/>
              <w:ind w:left="1163"/>
              <w:spacing w:after="0" w:line="162" w:lineRule="exact"/>
              <w:rPr>
                <w:sz w:val="20"/>
                <w:szCs w:val="20"/>
                <w:color w:val="auto"/>
              </w:rPr>
            </w:pPr>
            <w:r>
              <w:rPr>
                <w:rFonts w:ascii="Arial" w:cs="Arial" w:eastAsia="Arial" w:hAnsi="Arial"/>
                <w:sz w:val="16"/>
                <w:szCs w:val="16"/>
                <w:b w:val="1"/>
                <w:bCs w:val="1"/>
                <w:color w:val="auto"/>
                <w:w w:val="91"/>
              </w:rPr>
              <w:t>Suite 415</w:t>
            </w: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80" w:type="dxa"/>
            <w:vAlign w:val="bottom"/>
            <w:gridSpan w:val="2"/>
            <w:vMerge w:val="restart"/>
          </w:tcPr>
          <w:p>
            <w:pPr>
              <w:jc w:val="right"/>
              <w:ind w:right="2465"/>
              <w:spacing w:after="0"/>
              <w:rPr>
                <w:sz w:val="20"/>
                <w:szCs w:val="20"/>
                <w:color w:val="auto"/>
              </w:rPr>
            </w:pPr>
            <w:r>
              <w:rPr>
                <w:rFonts w:ascii="Arial" w:cs="Arial" w:eastAsia="Arial" w:hAnsi="Arial"/>
                <w:sz w:val="16"/>
                <w:szCs w:val="16"/>
                <w:b w:val="1"/>
                <w:bCs w:val="1"/>
                <w:color w:val="auto"/>
              </w:rPr>
              <w:t>02142</w:t>
            </w:r>
          </w:p>
        </w:tc>
        <w:tc>
          <w:tcPr>
            <w:tcW w:w="0" w:type="dxa"/>
            <w:vAlign w:val="bottom"/>
          </w:tcPr>
          <w:p>
            <w:pPr>
              <w:spacing w:after="0"/>
              <w:rPr>
                <w:sz w:val="1"/>
                <w:szCs w:val="1"/>
                <w:color w:val="auto"/>
              </w:rPr>
            </w:pPr>
          </w:p>
        </w:tc>
      </w:tr>
      <w:tr>
        <w:trPr>
          <w:trHeight w:val="180"/>
        </w:trPr>
        <w:tc>
          <w:tcPr>
            <w:tcW w:w="4280" w:type="dxa"/>
            <w:vAlign w:val="bottom"/>
          </w:tcPr>
          <w:p>
            <w:pPr>
              <w:jc w:val="center"/>
              <w:ind w:left="1163"/>
              <w:spacing w:after="0" w:line="180" w:lineRule="exact"/>
              <w:rPr>
                <w:sz w:val="20"/>
                <w:szCs w:val="20"/>
                <w:color w:val="auto"/>
              </w:rPr>
            </w:pPr>
            <w:r>
              <w:rPr>
                <w:rFonts w:ascii="Arial" w:cs="Arial" w:eastAsia="Arial" w:hAnsi="Arial"/>
                <w:sz w:val="16"/>
                <w:szCs w:val="16"/>
                <w:b w:val="1"/>
                <w:bCs w:val="1"/>
                <w:color w:val="auto"/>
                <w:w w:val="95"/>
              </w:rPr>
              <w:t>Cambridge, MA</w:t>
            </w: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tcPr>
          <w:p>
            <w:pPr>
              <w:jc w:val="center"/>
              <w:ind w:left="118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jc w:val="center"/>
              <w:ind w:right="116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63"/>
        </w:trPr>
        <w:tc>
          <w:tcPr>
            <w:tcW w:w="112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(617) 274-4000</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220" w:type="dxa"/>
            <w:vAlign w:val="bottom"/>
          </w:tcPr>
          <w:p>
            <w:pPr>
              <w:spacing w:after="0"/>
              <w:rPr>
                <w:sz w:val="16"/>
                <w:szCs w:val="16"/>
                <w:color w:val="auto"/>
              </w:rPr>
            </w:pPr>
          </w:p>
        </w:tc>
        <w:tc>
          <w:tcPr>
            <w:tcW w:w="42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16"/>
                <w:szCs w:val="16"/>
                <w:color w:val="auto"/>
              </w:rPr>
            </w:pPr>
          </w:p>
        </w:tc>
        <w:tc>
          <w:tcPr>
            <w:tcW w:w="4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1"/>
              </w:rPr>
              <w:t>Common Stock, $0.0001 par value</w:t>
            </w:r>
          </w:p>
        </w:tc>
        <w:tc>
          <w:tcPr>
            <w:tcW w:w="240" w:type="dxa"/>
            <w:vAlign w:val="bottom"/>
          </w:tcPr>
          <w:p>
            <w:pPr>
              <w:spacing w:after="0"/>
              <w:rPr>
                <w:sz w:val="12"/>
                <w:szCs w:val="12"/>
                <w:color w:val="auto"/>
              </w:rPr>
            </w:pPr>
          </w:p>
        </w:tc>
        <w:tc>
          <w:tcPr>
            <w:tcW w:w="2240" w:type="dxa"/>
            <w:vAlign w:val="bottom"/>
          </w:tcPr>
          <w:p>
            <w:pPr>
              <w:jc w:val="center"/>
              <w:spacing w:after="0" w:line="142" w:lineRule="exact"/>
              <w:rPr>
                <w:sz w:val="20"/>
                <w:szCs w:val="20"/>
                <w:color w:val="auto"/>
              </w:rPr>
            </w:pPr>
            <w:r>
              <w:rPr>
                <w:rFonts w:ascii="Arial" w:cs="Arial" w:eastAsia="Arial" w:hAnsi="Arial"/>
                <w:sz w:val="15"/>
                <w:szCs w:val="15"/>
                <w:b w:val="1"/>
                <w:bCs w:val="1"/>
                <w:color w:val="auto"/>
                <w:w w:val="99"/>
              </w:rPr>
              <w:t>SRPT</w:t>
            </w:r>
          </w:p>
        </w:tc>
        <w:tc>
          <w:tcPr>
            <w:tcW w:w="220" w:type="dxa"/>
            <w:vAlign w:val="bottom"/>
          </w:tcPr>
          <w:p>
            <w:pPr>
              <w:spacing w:after="0"/>
              <w:rPr>
                <w:sz w:val="12"/>
                <w:szCs w:val="12"/>
                <w:color w:val="auto"/>
              </w:rPr>
            </w:pPr>
          </w:p>
        </w:tc>
        <w:tc>
          <w:tcPr>
            <w:tcW w:w="4260" w:type="dxa"/>
            <w:vAlign w:val="bottom"/>
          </w:tcPr>
          <w:p>
            <w:pPr>
              <w:ind w:left="940"/>
              <w:spacing w:after="0" w:line="142" w:lineRule="exact"/>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ind w:left="820"/>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31" w:lineRule="exact"/>
        <w:rPr>
          <w:sz w:val="24"/>
          <w:szCs w:val="24"/>
          <w:color w:val="auto"/>
        </w:rPr>
      </w:pPr>
    </w:p>
    <w:p>
      <w:pPr>
        <w:ind w:right="3060"/>
        <w:spacing w:after="0" w:line="23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34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80"/>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3"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6" w:lineRule="exact"/>
        <w:rPr>
          <w:sz w:val="24"/>
          <w:szCs w:val="24"/>
          <w:color w:val="auto"/>
        </w:rPr>
      </w:pPr>
    </w:p>
    <w:p>
      <w:pPr>
        <w:ind w:right="300"/>
        <w:spacing w:after="0" w:line="274"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Global Select Market on June 30, 2021, was approximately $6,206,016,151.</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24, 2022 was 87,149,589.</w:t>
      </w:r>
    </w:p>
    <w:p>
      <w:pPr>
        <w:spacing w:after="0" w:line="57" w:lineRule="exact"/>
        <w:rPr>
          <w:sz w:val="24"/>
          <w:szCs w:val="24"/>
          <w:color w:val="auto"/>
        </w:rPr>
      </w:pPr>
    </w:p>
    <w:p>
      <w:pPr>
        <w:ind w:left="3960"/>
        <w:spacing w:after="0"/>
        <w:rPr>
          <w:sz w:val="20"/>
          <w:szCs w:val="20"/>
          <w:color w:val="auto"/>
        </w:rPr>
      </w:pPr>
      <w:r>
        <w:rPr>
          <w:rFonts w:ascii="Arial" w:cs="Arial" w:eastAsia="Arial" w:hAnsi="Arial"/>
          <w:sz w:val="15"/>
          <w:szCs w:val="15"/>
          <w:color w:val="auto"/>
        </w:rPr>
        <w:t>DOCUMENTS INCORPORATED BY REFERENCE</w:t>
      </w:r>
    </w:p>
    <w:p>
      <w:pPr>
        <w:spacing w:after="0" w:line="57" w:lineRule="exact"/>
        <w:rPr>
          <w:sz w:val="24"/>
          <w:szCs w:val="24"/>
          <w:color w:val="auto"/>
        </w:rPr>
      </w:pPr>
    </w:p>
    <w:p>
      <w:pPr>
        <w:ind w:right="260"/>
        <w:spacing w:after="0" w:line="274" w:lineRule="auto"/>
        <w:rPr>
          <w:sz w:val="20"/>
          <w:szCs w:val="20"/>
          <w:color w:val="auto"/>
        </w:rPr>
      </w:pPr>
      <w:r>
        <w:rPr>
          <w:rFonts w:ascii="Arial" w:cs="Arial" w:eastAsia="Arial" w:hAnsi="Arial"/>
          <w:sz w:val="15"/>
          <w:szCs w:val="15"/>
          <w:color w:val="auto"/>
        </w:rPr>
        <w:t>The registrant has incorporated by reference into Part II and Part III of this Annual Report on Form 10-K portions of its definitive Proxy Statement for the 2022 Annual Meeting of Stockholders to be filed no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w w:val="91"/>
              </w:rPr>
              <w:t>Sarepta Therapeutics,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3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FORM 10-K INDEX</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40" w:type="dxa"/>
            <w:vAlign w:val="bottom"/>
            <w:gridSpan w:val="2"/>
            <w:vMerge w:val="restart"/>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PART I</w:t>
              </w:r>
            </w:hyperlink>
          </w:p>
        </w:tc>
        <w:tc>
          <w:tcPr>
            <w:tcW w:w="10120" w:type="dxa"/>
            <w:vAlign w:val="bottom"/>
            <w:gridSpan w:val="26"/>
            <w:vMerge w:val="restart"/>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540" w:type="dxa"/>
            <w:vAlign w:val="bottom"/>
            <w:tcBorders>
              <w:bottom w:val="single" w:sz="8" w:color="0000EE"/>
            </w:tcBorders>
            <w:gridSpan w:val="2"/>
            <w:vMerge w:val="continue"/>
          </w:tcPr>
          <w:p>
            <w:pPr>
              <w:spacing w:after="0"/>
              <w:rPr>
                <w:sz w:val="13"/>
                <w:szCs w:val="13"/>
                <w:color w:val="auto"/>
              </w:rPr>
            </w:pPr>
          </w:p>
        </w:tc>
        <w:tc>
          <w:tcPr>
            <w:tcW w:w="10120" w:type="dxa"/>
            <w:vAlign w:val="bottom"/>
            <w:gridSpan w:val="26"/>
            <w:vMerge w:val="continue"/>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Item 1. Business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33">
              <w:r>
                <w:rPr>
                  <w:rFonts w:ascii="Arial" w:cs="Arial" w:eastAsia="Arial" w:hAnsi="Arial"/>
                  <w:sz w:val="18"/>
                  <w:szCs w:val="18"/>
                  <w:color w:val="0000FF"/>
                </w:rPr>
                <w:t>Item 1A. Risk Factors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600" w:type="dxa"/>
            <w:vAlign w:val="bottom"/>
            <w:tcBorders>
              <w:top w:val="single" w:sz="8" w:color="0000EE"/>
            </w:tcBorders>
            <w:gridSpan w:val="8"/>
          </w:tcPr>
          <w:p>
            <w:pPr>
              <w:spacing w:after="0" w:line="169" w:lineRule="exact"/>
              <w:rPr>
                <w:rFonts w:ascii="Arial" w:cs="Arial" w:eastAsia="Arial" w:hAnsi="Arial"/>
                <w:sz w:val="18"/>
                <w:szCs w:val="18"/>
                <w:color w:val="0000FF"/>
                <w:w w:val="96"/>
              </w:rPr>
            </w:pPr>
            <w:hyperlink w:anchor="page70">
              <w:r>
                <w:rPr>
                  <w:rFonts w:ascii="Arial" w:cs="Arial" w:eastAsia="Arial" w:hAnsi="Arial"/>
                  <w:sz w:val="18"/>
                  <w:szCs w:val="18"/>
                  <w:color w:val="0000FF"/>
                  <w:w w:val="96"/>
                </w:rPr>
                <w:t>Item 1B. Unresolved</w:t>
              </w:r>
            </w:hyperlink>
          </w:p>
        </w:tc>
        <w:tc>
          <w:tcPr>
            <w:tcW w:w="8640" w:type="dxa"/>
            <w:vAlign w:val="bottom"/>
            <w:gridSpan w:val="19"/>
          </w:tcPr>
          <w:p>
            <w:pPr>
              <w:spacing w:after="0" w:line="169" w:lineRule="exact"/>
              <w:rPr>
                <w:rFonts w:ascii="Arial" w:cs="Arial" w:eastAsia="Arial" w:hAnsi="Arial"/>
                <w:sz w:val="18"/>
                <w:szCs w:val="18"/>
                <w:color w:val="0000FF"/>
              </w:rPr>
            </w:pPr>
            <w:hyperlink w:anchor="page70">
              <w:r>
                <w:rPr>
                  <w:rFonts w:ascii="Arial" w:cs="Arial" w:eastAsia="Arial" w:hAnsi="Arial"/>
                  <w:sz w:val="18"/>
                  <w:szCs w:val="18"/>
                  <w:color w:val="0000FF"/>
                </w:rPr>
                <w:t>Staff Comments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7"/>
          </w:tcPr>
          <w:p>
            <w:pPr>
              <w:spacing w:after="0" w:line="169"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Item 2. Properties</w:t>
              </w:r>
            </w:hyperlink>
          </w:p>
        </w:tc>
        <w:tc>
          <w:tcPr>
            <w:tcW w:w="1420" w:type="dxa"/>
            <w:vAlign w:val="bottom"/>
            <w:tcBorders>
              <w:top w:val="single" w:sz="8" w:color="0000EE"/>
            </w:tcBorders>
            <w:gridSpan w:val="8"/>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900" w:type="dxa"/>
            <w:vAlign w:val="bottom"/>
            <w:tcBorders>
              <w:bottom w:val="single" w:sz="8" w:color="0000EE"/>
            </w:tcBorders>
            <w:gridSpan w:val="9"/>
          </w:tcPr>
          <w:p>
            <w:pPr>
              <w:spacing w:after="0" w:line="16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Item 3. Legal Proceedings</w:t>
              </w:r>
            </w:hyperlink>
          </w:p>
        </w:tc>
        <w:tc>
          <w:tcPr>
            <w:tcW w:w="8340" w:type="dxa"/>
            <w:vAlign w:val="bottom"/>
            <w:gridSpan w:val="18"/>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71">
              <w:r>
                <w:rPr>
                  <w:rFonts w:ascii="Arial" w:cs="Arial" w:eastAsia="Arial" w:hAnsi="Arial"/>
                  <w:sz w:val="18"/>
                  <w:szCs w:val="18"/>
                  <w:color w:val="0000FF"/>
                </w:rPr>
                <w:t>Item 4. Mine Safety Disclosures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69"/>
        </w:trPr>
        <w:tc>
          <w:tcPr>
            <w:tcW w:w="420" w:type="dxa"/>
            <w:vAlign w:val="bottom"/>
            <w:tcBorders>
              <w:bottom w:val="single" w:sz="8" w:color="0000EE"/>
            </w:tcBorders>
          </w:tcPr>
          <w:p>
            <w:pPr>
              <w:spacing w:after="0" w:line="169" w:lineRule="exact"/>
              <w:rPr>
                <w:rFonts w:ascii="Arial" w:cs="Arial" w:eastAsia="Arial" w:hAnsi="Arial"/>
                <w:sz w:val="18"/>
                <w:szCs w:val="18"/>
                <w:color w:val="0000FF"/>
                <w:w w:val="83"/>
              </w:rPr>
            </w:pPr>
            <w:hyperlink w:anchor="page72">
              <w:r>
                <w:rPr>
                  <w:rFonts w:ascii="Arial" w:cs="Arial" w:eastAsia="Arial" w:hAnsi="Arial"/>
                  <w:sz w:val="18"/>
                  <w:szCs w:val="18"/>
                  <w:color w:val="0000FF"/>
                  <w:w w:val="83"/>
                </w:rPr>
                <w:t>PART</w:t>
              </w:r>
            </w:hyperlink>
          </w:p>
        </w:tc>
        <w:tc>
          <w:tcPr>
            <w:tcW w:w="180" w:type="dxa"/>
            <w:vAlign w:val="bottom"/>
            <w:tcBorders>
              <w:top w:val="single" w:sz="8" w:color="0000EE"/>
              <w:bottom w:val="single" w:sz="8" w:color="0000EE"/>
            </w:tcBorders>
            <w:gridSpan w:val="2"/>
          </w:tcPr>
          <w:p>
            <w:pPr>
              <w:ind w:left="60"/>
              <w:spacing w:after="0" w:line="169"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II</w:t>
              </w:r>
            </w:hyperlink>
          </w:p>
        </w:tc>
        <w:tc>
          <w:tcPr>
            <w:tcW w:w="2160" w:type="dxa"/>
            <w:vAlign w:val="bottom"/>
            <w:tcBorders>
              <w:top w:val="single" w:sz="8" w:color="0000EE"/>
            </w:tcBorders>
            <w:gridSpan w:val="10"/>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Item 5. Market for Registrant’s Common Equity, Related Stockholder Matters and Issuer Purchases of Equity</w:t>
              </w:r>
            </w:hyperlink>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920" w:type="dxa"/>
            <w:vAlign w:val="bottom"/>
            <w:tcBorders>
              <w:top w:val="single" w:sz="8" w:color="0000EE"/>
            </w:tcBorders>
            <w:gridSpan w:val="25"/>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Securities</w:t>
              </w:r>
            </w:hyperlink>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2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Item 6.</w:t>
              </w:r>
            </w:hyperlink>
          </w:p>
        </w:tc>
        <w:tc>
          <w:tcPr>
            <w:tcW w:w="520" w:type="dxa"/>
            <w:vAlign w:val="bottom"/>
            <w:tcBorders>
              <w:bottom w:val="single" w:sz="8" w:color="0000EE"/>
            </w:tcBorders>
            <w:gridSpan w:val="2"/>
          </w:tcPr>
          <w:p>
            <w:pPr>
              <w:spacing w:after="0" w:line="169" w:lineRule="exact"/>
              <w:rPr>
                <w:rFonts w:ascii="Arial" w:cs="Arial" w:eastAsia="Arial" w:hAnsi="Arial"/>
                <w:sz w:val="16"/>
                <w:szCs w:val="16"/>
                <w:color w:val="0000FF"/>
                <w:w w:val="72"/>
              </w:rPr>
            </w:pPr>
            <w:hyperlink w:anchor="page72">
              <w:r>
                <w:rPr>
                  <w:rFonts w:ascii="Arial" w:cs="Arial" w:eastAsia="Arial" w:hAnsi="Arial"/>
                  <w:sz w:val="16"/>
                  <w:szCs w:val="16"/>
                  <w:color w:val="0000FF"/>
                  <w:w w:val="72"/>
                </w:rPr>
                <w:t>Reserved</w:t>
              </w:r>
            </w:hyperlink>
          </w:p>
        </w:tc>
        <w:tc>
          <w:tcPr>
            <w:tcW w:w="9000" w:type="dxa"/>
            <w:vAlign w:val="bottom"/>
            <w:gridSpan w:val="21"/>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Item 7. Management’s Discussion and Analysis of Financial Condition and Results of Operations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020" w:type="dxa"/>
            <w:vAlign w:val="bottom"/>
            <w:tcBorders>
              <w:top w:val="single" w:sz="8" w:color="0000EE"/>
            </w:tcBorders>
            <w:gridSpan w:val="23"/>
          </w:tcPr>
          <w:p>
            <w:pPr>
              <w:spacing w:after="0" w:line="169" w:lineRule="exact"/>
              <w:rPr>
                <w:rFonts w:ascii="Arial" w:cs="Arial" w:eastAsia="Arial" w:hAnsi="Arial"/>
                <w:sz w:val="18"/>
                <w:szCs w:val="18"/>
                <w:color w:val="0000FF"/>
              </w:rPr>
            </w:pPr>
            <w:hyperlink w:anchor="page83">
              <w:r>
                <w:rPr>
                  <w:rFonts w:ascii="Arial" w:cs="Arial" w:eastAsia="Arial" w:hAnsi="Arial"/>
                  <w:sz w:val="18"/>
                  <w:szCs w:val="18"/>
                  <w:color w:val="0000FF"/>
                </w:rPr>
                <w:t>Item 7A. Quantitative and Qualitative Disclosures About Market Risk</w:t>
              </w:r>
            </w:hyperlink>
          </w:p>
        </w:tc>
        <w:tc>
          <w:tcPr>
            <w:tcW w:w="2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5060" w:type="dxa"/>
            <w:vAlign w:val="bottom"/>
            <w:tcBorders>
              <w:top w:val="single" w:sz="8" w:color="0000EE"/>
            </w:tcBorders>
            <w:gridSpan w:val="20"/>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Item 8. Financial Statements and Supplementary Data</w:t>
              </w:r>
            </w:hyperlink>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900" w:type="dxa"/>
            <w:vAlign w:val="bottom"/>
            <w:gridSpan w:val="2"/>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3900" w:type="dxa"/>
            <w:vAlign w:val="bottom"/>
            <w:tcBorders>
              <w:top w:val="single" w:sz="8" w:color="0000EE"/>
            </w:tcBorders>
            <w:gridSpan w:val="18"/>
          </w:tcPr>
          <w:p>
            <w:pPr>
              <w:spacing w:after="0" w:line="169" w:lineRule="exact"/>
              <w:rPr>
                <w:rFonts w:ascii="Arial" w:cs="Arial" w:eastAsia="Arial" w:hAnsi="Arial"/>
                <w:sz w:val="18"/>
                <w:szCs w:val="18"/>
                <w:color w:val="0000FF"/>
                <w:w w:val="85"/>
              </w:rPr>
            </w:pPr>
            <w:hyperlink w:anchor="page84">
              <w:r>
                <w:rPr>
                  <w:rFonts w:ascii="Arial" w:cs="Arial" w:eastAsia="Arial" w:hAnsi="Arial"/>
                  <w:sz w:val="18"/>
                  <w:szCs w:val="18"/>
                  <w:color w:val="0000FF"/>
                  <w:w w:val="85"/>
                </w:rPr>
                <w:t>Item 9. Changes in and Disagreements with Accountants</w:t>
              </w:r>
            </w:hyperlink>
          </w:p>
        </w:tc>
        <w:tc>
          <w:tcPr>
            <w:tcW w:w="6340" w:type="dxa"/>
            <w:vAlign w:val="bottom"/>
            <w:gridSpan w:val="9"/>
          </w:tcPr>
          <w:p>
            <w:pPr>
              <w:ind w:left="240"/>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on Accounting and Financial Disclosure</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040" w:type="dxa"/>
            <w:vAlign w:val="bottom"/>
            <w:tcBorders>
              <w:top w:val="single" w:sz="8" w:color="0000EE"/>
            </w:tcBorders>
            <w:gridSpan w:val="24"/>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Item 9A. Controls and Procedures</w:t>
              </w:r>
            </w:hyperlink>
          </w:p>
        </w:tc>
        <w:tc>
          <w:tcPr>
            <w:tcW w:w="900" w:type="dxa"/>
            <w:vAlign w:val="bottom"/>
            <w:gridSpan w:val="2"/>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10"/>
          </w:tcPr>
          <w:p>
            <w:pPr>
              <w:spacing w:after="0" w:line="169" w:lineRule="exact"/>
              <w:rPr>
                <w:rFonts w:ascii="Arial" w:cs="Arial" w:eastAsia="Arial" w:hAnsi="Arial"/>
                <w:sz w:val="18"/>
                <w:szCs w:val="18"/>
                <w:color w:val="0000FF"/>
                <w:w w:val="93"/>
              </w:rPr>
            </w:pPr>
            <w:hyperlink w:anchor="page85">
              <w:r>
                <w:rPr>
                  <w:rFonts w:ascii="Arial" w:cs="Arial" w:eastAsia="Arial" w:hAnsi="Arial"/>
                  <w:sz w:val="18"/>
                  <w:szCs w:val="18"/>
                  <w:color w:val="0000FF"/>
                  <w:w w:val="93"/>
                </w:rPr>
                <w:t>Item 9B. Other Information</w:t>
              </w:r>
            </w:hyperlink>
          </w:p>
        </w:tc>
        <w:tc>
          <w:tcPr>
            <w:tcW w:w="480" w:type="dxa"/>
            <w:vAlign w:val="bottom"/>
            <w:tcBorders>
              <w:top w:val="single" w:sz="8" w:color="0000EE"/>
            </w:tcBorders>
            <w:gridSpan w:val="4"/>
          </w:tcPr>
          <w:p>
            <w:pPr>
              <w:spacing w:after="0"/>
              <w:rPr>
                <w:sz w:val="14"/>
                <w:szCs w:val="14"/>
                <w:color w:val="auto"/>
              </w:rPr>
            </w:pPr>
          </w:p>
        </w:tc>
        <w:tc>
          <w:tcPr>
            <w:tcW w:w="10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8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85">
              <w:r>
                <w:rPr>
                  <w:rFonts w:ascii="Arial" w:cs="Arial" w:eastAsia="Arial" w:hAnsi="Arial"/>
                  <w:sz w:val="18"/>
                  <w:szCs w:val="18"/>
                  <w:color w:val="0000FF"/>
                </w:rPr>
                <w:t>Item 9C. Disclosure Regarding Foreign Jurisdictions that Prevent Inspections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9"/>
        </w:trPr>
        <w:tc>
          <w:tcPr>
            <w:tcW w:w="420" w:type="dxa"/>
            <w:vAlign w:val="bottom"/>
            <w:tcBorders>
              <w:bottom w:val="single" w:sz="8" w:color="0000EE"/>
            </w:tcBorders>
          </w:tcPr>
          <w:p>
            <w:pPr>
              <w:spacing w:after="0" w:line="169" w:lineRule="exact"/>
              <w:rPr>
                <w:rFonts w:ascii="Arial" w:cs="Arial" w:eastAsia="Arial" w:hAnsi="Arial"/>
                <w:sz w:val="18"/>
                <w:szCs w:val="18"/>
                <w:color w:val="0000FF"/>
                <w:w w:val="83"/>
              </w:rPr>
            </w:pPr>
            <w:hyperlink w:anchor="page86">
              <w:r>
                <w:rPr>
                  <w:rFonts w:ascii="Arial" w:cs="Arial" w:eastAsia="Arial" w:hAnsi="Arial"/>
                  <w:sz w:val="18"/>
                  <w:szCs w:val="18"/>
                  <w:color w:val="0000FF"/>
                  <w:w w:val="83"/>
                </w:rPr>
                <w:t>PART</w:t>
              </w:r>
            </w:hyperlink>
          </w:p>
        </w:tc>
        <w:tc>
          <w:tcPr>
            <w:tcW w:w="240" w:type="dxa"/>
            <w:vAlign w:val="bottom"/>
            <w:tcBorders>
              <w:top w:val="single" w:sz="8" w:color="0000EE"/>
              <w:bottom w:val="single" w:sz="8" w:color="0000EE"/>
            </w:tcBorders>
            <w:gridSpan w:val="3"/>
          </w:tcPr>
          <w:p>
            <w:pPr>
              <w:ind w:left="60"/>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III</w:t>
              </w:r>
            </w:hyperlink>
          </w:p>
        </w:tc>
        <w:tc>
          <w:tcPr>
            <w:tcW w:w="5340" w:type="dxa"/>
            <w:vAlign w:val="bottom"/>
            <w:tcBorders>
              <w:top w:val="single" w:sz="8" w:color="0000EE"/>
            </w:tcBorders>
            <w:gridSpan w:val="18"/>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Item 10. Directors, Executive Officers and Corporate Governance</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4740" w:type="dxa"/>
            <w:vAlign w:val="bottom"/>
            <w:tcBorders>
              <w:top w:val="single" w:sz="8" w:color="0000EE"/>
            </w:tcBorders>
            <w:gridSpan w:val="19"/>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Item 11. Executive Compensation</w:t>
              </w:r>
            </w:hyperlink>
          </w:p>
        </w:tc>
        <w:tc>
          <w:tcPr>
            <w:tcW w:w="1360" w:type="dxa"/>
            <w:vAlign w:val="bottom"/>
            <w:gridSpan w:val="3"/>
          </w:tcPr>
          <w:p>
            <w:pPr>
              <w:spacing w:after="0"/>
              <w:rPr>
                <w:sz w:val="14"/>
                <w:szCs w:val="14"/>
                <w:color w:val="auto"/>
              </w:rPr>
            </w:pPr>
          </w:p>
        </w:tc>
        <w:tc>
          <w:tcPr>
            <w:tcW w:w="1840" w:type="dxa"/>
            <w:vAlign w:val="bottom"/>
            <w:gridSpan w:val="4"/>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460" w:type="dxa"/>
            <w:vAlign w:val="bottom"/>
            <w:tcBorders>
              <w:top w:val="single" w:sz="8" w:color="0000EE"/>
            </w:tcBorders>
            <w:gridSpan w:val="13"/>
          </w:tcPr>
          <w:p>
            <w:pPr>
              <w:spacing w:after="0" w:line="169"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Item 12. Security Ownership of</w:t>
              </w:r>
            </w:hyperlink>
          </w:p>
        </w:tc>
        <w:tc>
          <w:tcPr>
            <w:tcW w:w="7780" w:type="dxa"/>
            <w:vAlign w:val="bottom"/>
            <w:gridSpan w:val="14"/>
          </w:tcPr>
          <w:p>
            <w:pPr>
              <w:jc w:val="center"/>
              <w:ind w:right="2300"/>
              <w:spacing w:after="0" w:line="169" w:lineRule="exact"/>
              <w:rPr>
                <w:rFonts w:ascii="Arial" w:cs="Arial" w:eastAsia="Arial" w:hAnsi="Arial"/>
                <w:sz w:val="18"/>
                <w:szCs w:val="18"/>
                <w:color w:val="0000FF"/>
                <w:w w:val="88"/>
              </w:rPr>
            </w:pPr>
            <w:hyperlink w:anchor="page86">
              <w:r>
                <w:rPr>
                  <w:rFonts w:ascii="Arial" w:cs="Arial" w:eastAsia="Arial" w:hAnsi="Arial"/>
                  <w:sz w:val="18"/>
                  <w:szCs w:val="18"/>
                  <w:color w:val="0000FF"/>
                  <w:w w:val="88"/>
                </w:rPr>
                <w:t>Certain Beneficial Owners and Management and Related Stockholder Matters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940" w:type="dxa"/>
            <w:vAlign w:val="bottom"/>
            <w:tcBorders>
              <w:top w:val="single" w:sz="8" w:color="0000EE"/>
            </w:tcBorders>
            <w:gridSpan w:val="26"/>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Item 13. Certain Relationships and Related Transactions, and Director Independence</w:t>
              </w:r>
            </w:hyperlink>
          </w:p>
        </w:tc>
        <w:tc>
          <w:tcPr>
            <w:tcW w:w="23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100" w:type="dxa"/>
            <w:vAlign w:val="bottom"/>
            <w:tcBorders>
              <w:top w:val="single" w:sz="8" w:color="0000EE"/>
            </w:tcBorders>
            <w:gridSpan w:val="22"/>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Item 14. Principal Accounting Fees and Services</w:t>
              </w:r>
            </w:hyperlink>
          </w:p>
        </w:tc>
        <w:tc>
          <w:tcPr>
            <w:tcW w:w="4140" w:type="dxa"/>
            <w:vAlign w:val="bottom"/>
            <w:gridSpan w:val="5"/>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420" w:type="dxa"/>
            <w:vAlign w:val="bottom"/>
          </w:tcPr>
          <w:p>
            <w:pPr>
              <w:spacing w:after="0" w:line="169" w:lineRule="exact"/>
              <w:rPr>
                <w:rFonts w:ascii="Arial" w:cs="Arial" w:eastAsia="Arial" w:hAnsi="Arial"/>
                <w:sz w:val="18"/>
                <w:szCs w:val="18"/>
                <w:color w:val="0000FF"/>
                <w:w w:val="83"/>
              </w:rPr>
            </w:pPr>
            <w:hyperlink w:anchor="page87">
              <w:r>
                <w:rPr>
                  <w:rFonts w:ascii="Arial" w:cs="Arial" w:eastAsia="Arial" w:hAnsi="Arial"/>
                  <w:sz w:val="18"/>
                  <w:szCs w:val="18"/>
                  <w:color w:val="0000FF"/>
                  <w:w w:val="83"/>
                </w:rPr>
                <w:t>PART</w:t>
              </w:r>
            </w:hyperlink>
          </w:p>
        </w:tc>
        <w:tc>
          <w:tcPr>
            <w:tcW w:w="3520" w:type="dxa"/>
            <w:vAlign w:val="bottom"/>
            <w:tcBorders>
              <w:top w:val="single" w:sz="8" w:color="0000EE"/>
            </w:tcBorders>
            <w:gridSpan w:val="16"/>
          </w:tcPr>
          <w:p>
            <w:pPr>
              <w:ind w:left="60"/>
              <w:spacing w:after="0" w:line="169" w:lineRule="exact"/>
              <w:rPr>
                <w:rFonts w:ascii="Arial" w:cs="Arial" w:eastAsia="Arial" w:hAnsi="Arial"/>
                <w:sz w:val="18"/>
                <w:szCs w:val="18"/>
                <w:color w:val="0000FF"/>
              </w:rPr>
            </w:pPr>
            <w:hyperlink w:anchor="page87">
              <w:r>
                <w:rPr>
                  <w:rFonts w:ascii="Arial" w:cs="Arial" w:eastAsia="Arial" w:hAnsi="Arial"/>
                  <w:sz w:val="18"/>
                  <w:szCs w:val="18"/>
                  <w:color w:val="0000FF"/>
                </w:rPr>
                <w:t>IV</w:t>
              </w:r>
            </w:hyperlink>
          </w:p>
        </w:tc>
        <w:tc>
          <w:tcPr>
            <w:tcW w:w="40" w:type="dxa"/>
            <w:vAlign w:val="bottom"/>
          </w:tcPr>
          <w:p>
            <w:pPr>
              <w:spacing w:after="0"/>
              <w:rPr>
                <w:sz w:val="14"/>
                <w:szCs w:val="14"/>
                <w:color w:val="auto"/>
              </w:rPr>
            </w:pPr>
          </w:p>
        </w:tc>
        <w:tc>
          <w:tcPr>
            <w:tcW w:w="6680" w:type="dxa"/>
            <w:vAlign w:val="bottom"/>
            <w:gridSpan w:val="10"/>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0240" w:type="dxa"/>
            <w:vAlign w:val="bottom"/>
            <w:gridSpan w:val="27"/>
          </w:tcPr>
          <w:p>
            <w:pPr>
              <w:spacing w:after="0" w:line="169" w:lineRule="exact"/>
              <w:rPr>
                <w:rFonts w:ascii="Arial" w:cs="Arial" w:eastAsia="Arial" w:hAnsi="Arial"/>
                <w:sz w:val="18"/>
                <w:szCs w:val="18"/>
                <w:color w:val="0000FF"/>
              </w:rPr>
            </w:pPr>
            <w:hyperlink w:anchor="page87">
              <w:r>
                <w:rPr>
                  <w:rFonts w:ascii="Arial" w:cs="Arial" w:eastAsia="Arial" w:hAnsi="Arial"/>
                  <w:sz w:val="18"/>
                  <w:szCs w:val="18"/>
                  <w:color w:val="0000FF"/>
                </w:rPr>
                <w:t>Item 15. Exhibits, Financial Statement Schedules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3560" w:type="dxa"/>
            <w:vAlign w:val="bottom"/>
            <w:tcBorders>
              <w:top w:val="single" w:sz="8" w:color="0000EE"/>
            </w:tcBorders>
            <w:gridSpan w:val="17"/>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Item 16. Form 10-K Summary</w:t>
              </w:r>
            </w:hyperlink>
          </w:p>
        </w:tc>
        <w:tc>
          <w:tcPr>
            <w:tcW w:w="6680" w:type="dxa"/>
            <w:vAlign w:val="bottom"/>
            <w:gridSpan w:val="10"/>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16"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i w:val="1"/>
          <w:iCs w:val="1"/>
          <w:color w:val="auto"/>
        </w:rPr>
        <w:t>This Annual Report on Form 10-K, including the “Management’s Discussion and Analysis of Financial Condition and Results of Operations” section in Item 7, and other materials accompanying this Annual Report on Form 10-K contain forward-looking statements or incorporate by reference forward-looking statements. Statements that are not purely historical are forward-looking statements. Forward-looking statements are often identified by words such as “believe,” “anticipate,” “expect,” “intend,” “plan,” “will,” “may,” “estimate,” “could,” “continue,” “ongoing,” “predict,” “potential,” “likely,” “seek” and other similar expressions, as well as variations or negatives of these words. These statements address expectations, projections of future results of operations or financial condition, or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86" w:lineRule="exact"/>
        <w:rPr>
          <w:sz w:val="20"/>
          <w:szCs w:val="20"/>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or potential impact of the ongoing COVID-19 pandemic on our business, including our commercial sales, ongoing and planned clinical trials, manufacturing and operations;</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 that our proprietary technology platforms and collaborations can be used to develop potential therapeutic candidates to treat a broad range of diseases;</w:t>
      </w:r>
    </w:p>
    <w:p>
      <w:pPr>
        <w:spacing w:after="0" w:line="62" w:lineRule="exact"/>
        <w:rPr>
          <w:rFonts w:ascii="Arial" w:cs="Arial" w:eastAsia="Arial" w:hAnsi="Arial"/>
          <w:sz w:val="18"/>
          <w:szCs w:val="18"/>
          <w:color w:val="auto"/>
        </w:rPr>
      </w:pPr>
    </w:p>
    <w:p>
      <w:pPr>
        <w:ind w:left="1020" w:right="2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 that our partnerships with manufacturers will support our clinical and commercial manufacturing capacity for our micro-dystrophin Duchenne muscular dystrophy gene therapy programs and Limb-girdle muscular dystrophy programs, while also acting as a manufacturing platform for potential future gene therapy programs, and our belief that our current network of manufacturing partners are able to fulfil the requirements of our commercial plan;</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 to continue building out our network for commercial distribution in jurisdictions in which our products are approved;</w:t>
      </w:r>
    </w:p>
    <w:p>
      <w:pPr>
        <w:spacing w:after="0" w:line="103"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estimated timelines and milestones for 2022 and beyond, including announcing additional data for SRP-9001 in 2022, completing GMP runs for SRP-9003 in 2022, and meeting with the U.S. Food and Drug Administration (“FDA”) in 2022 to discuss a pivotal trial for SRP-9003;</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 to expand our pipeline through internal research and development and through strategic transactions;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timely completion and satisfactory outcome of our post-marketing requirements and commitments, including verification of a clinical benefit for our products;</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 to evaluate activities and future engagement with the European Medicines Agency (the “EMA”) and other regulatory authorities outside of the U.S. on potential next steps for our products and product candidates;</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further secure long-term supply of our commercial products and our product candidates to satisfy our planned commercial, early access programs (“EAP”) and clinical needs;</w:t>
      </w:r>
    </w:p>
    <w:p>
      <w:pPr>
        <w:spacing w:after="0" w:line="62"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possible impact of regulations and regulatory decisions by the FDA and other regulatory agencies on our business, as well as the development of our product candidates and our financial and contractual obligations;</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possible impact of any competing products on the commercial success of our products and our product candidates and our ability to compete against such products;</w:t>
      </w:r>
    </w:p>
    <w:p>
      <w:pPr>
        <w:spacing w:after="0" w:line="62"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enter into research, development or commercialization alliances with universities, hospitals, independent research centers, non-profit organizations, pharmaceutical and biotechnology companies and other entities for specific molecular targets or selected disease indications and our ability to selectively pursue opportunities to access certain intellectual property rights that complement our internal portfolio through license agreements or other arrangements;</w:t>
      </w:r>
    </w:p>
    <w:p>
      <w:pPr>
        <w:spacing w:after="0" w:line="79"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potential benefits of the partnership, licensing and/or collaboration arrangements and other strategic arrangements and transactions we have entered into or may enter into in the future;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benefits of our technologies and programs, including those with strategic partners;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and ability to file and progress to issue additional patent applications to enhance and protect our new and existing technologies and programs;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estimates regarding how long our currently available cash and cash equivalents will be sufficient to finance our operations and business plans and statements about our future capital needs;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estimates regarding future revenues, research and development expenses, other expenses, capital requirements and payments to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 regarding the impact of environmental laws and regulations on our business;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beliefs and expectations regarding milestone, royalty or other payments that could be due to third parties under existing agreements.</w:t>
      </w:r>
    </w:p>
    <w:p>
      <w:pPr>
        <w:spacing w:after="0" w:line="262"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 xml:space="preserve">We undertake no obligation to update any of the forward-looking statements contained in this Annual Report on Form 10-K after the date of this report, except as required by law or the rules and regulations of the U.S. Securities and Exchange Commission </w:t>
      </w:r>
      <w:r>
        <w:rPr>
          <w:rFonts w:ascii="Arial" w:cs="Arial" w:eastAsia="Arial" w:hAnsi="Arial"/>
          <w:sz w:val="16"/>
          <w:szCs w:val="16"/>
          <w:color w:val="auto"/>
        </w:rPr>
        <w:t>(the “SEC”)</w:t>
      </w:r>
      <w:r>
        <w:rPr>
          <w:rFonts w:ascii="Arial" w:cs="Arial" w:eastAsia="Arial" w:hAnsi="Arial"/>
          <w:sz w:val="16"/>
          <w:szCs w:val="16"/>
          <w:i w:val="1"/>
          <w:iCs w:val="1"/>
          <w:color w:val="auto"/>
        </w:rPr>
        <w:t>. We caution readers not to place undue reliance on forward-looking statements.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including the risks, uncertainties and assumptions identified under the heading “Risk Factors” in this Annual Report on Form 10-K.</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business is subject to numerous risks and uncertainties, including those described in Item 1A “Risk Factors”. These risks include, but are not limited to the following:</w:t>
      </w:r>
    </w:p>
    <w:p>
      <w:pPr>
        <w:spacing w:after="0" w:line="171" w:lineRule="exact"/>
        <w:rPr>
          <w:sz w:val="20"/>
          <w:szCs w:val="20"/>
          <w:color w:val="auto"/>
        </w:rPr>
      </w:pPr>
    </w:p>
    <w:p>
      <w:pPr>
        <w:ind w:left="760" w:right="3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the commercial success of our products in the U.S. and we may not be able to meet expectations with respect to sales of our products or attain profitability and positive cash-flow from operations;</w:t>
      </w:r>
    </w:p>
    <w:p>
      <w:pPr>
        <w:spacing w:after="0" w:line="170" w:lineRule="exact"/>
        <w:rPr>
          <w:rFonts w:ascii="Arial" w:cs="Arial" w:eastAsia="Arial" w:hAnsi="Arial"/>
          <w:sz w:val="18"/>
          <w:szCs w:val="18"/>
          <w:color w:val="auto"/>
        </w:rPr>
      </w:pPr>
    </w:p>
    <w:p>
      <w:pPr>
        <w:ind w:left="760" w:right="20" w:hanging="378"/>
        <w:spacing w:after="0" w:line="291"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though EXONDYS 51, VYONDYS 53 and AMONDYS 45 have received accelerated approval by the FDA, they face future post-approval development and regulatory requirements, which will present additional challenges we will need to successfully navigate;</w:t>
      </w:r>
    </w:p>
    <w:p>
      <w:pPr>
        <w:spacing w:after="0" w:line="146" w:lineRule="exact"/>
        <w:rPr>
          <w:rFonts w:ascii="Arial" w:cs="Arial" w:eastAsia="Arial" w:hAnsi="Arial"/>
          <w:sz w:val="17"/>
          <w:szCs w:val="17"/>
          <w:color w:val="auto"/>
        </w:rPr>
      </w:pPr>
    </w:p>
    <w:p>
      <w:pPr>
        <w:ind w:left="760" w:right="1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uncertainty relating to reimbursement policies which, if not favorable, could hinder or prevent the commercial success of our products and/or product candidates;</w:t>
      </w:r>
    </w:p>
    <w:p>
      <w:pPr>
        <w:spacing w:after="0" w:line="170" w:lineRule="exact"/>
        <w:rPr>
          <w:rFonts w:ascii="Arial" w:cs="Arial" w:eastAsia="Arial" w:hAnsi="Arial"/>
          <w:sz w:val="18"/>
          <w:szCs w:val="18"/>
          <w:color w:val="auto"/>
        </w:rPr>
      </w:pPr>
    </w:p>
    <w:p>
      <w:pPr>
        <w:ind w:left="760" w:right="2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may not be widely adopted by patients, payors or healthcare providers, which would adversely impact our potential profitability and future business prospects;</w:t>
      </w:r>
    </w:p>
    <w:p>
      <w:pPr>
        <w:spacing w:after="0" w:line="170"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predict whether historical revenues from eteplirsen, golodirsen and casimersen through our EAP outside the U.S. will continue or whether we will be able to continue to distribute our products through our EAP;</w:t>
      </w:r>
    </w:p>
    <w:p>
      <w:pPr>
        <w:spacing w:after="0" w:line="170"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intense competition and rapid technological change, which may result in other companies discovering, developing or commercializing competitive products;</w:t>
      </w:r>
    </w:p>
    <w:p>
      <w:pPr>
        <w:spacing w:after="0" w:line="170" w:lineRule="exact"/>
        <w:rPr>
          <w:rFonts w:ascii="Arial" w:cs="Arial" w:eastAsia="Arial" w:hAnsi="Arial"/>
          <w:sz w:val="18"/>
          <w:szCs w:val="18"/>
          <w:color w:val="auto"/>
        </w:rPr>
      </w:pPr>
    </w:p>
    <w:p>
      <w:pPr>
        <w:ind w:left="760" w:right="160" w:hanging="378"/>
        <w:spacing w:after="0" w:line="24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multiple collaborations and strategic transactions, including our collaboration with Roche, and may seek or engage in future collaborations, strategic alliances, acquisitions or licensing agreements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18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clinical trials of our product candidates;</w:t>
      </w:r>
    </w:p>
    <w:p>
      <w:pPr>
        <w:spacing w:after="0" w:line="211" w:lineRule="exact"/>
        <w:rPr>
          <w:rFonts w:ascii="Arial" w:cs="Arial" w:eastAsia="Arial" w:hAnsi="Arial"/>
          <w:sz w:val="18"/>
          <w:szCs w:val="18"/>
          <w:color w:val="auto"/>
        </w:rPr>
      </w:pPr>
    </w:p>
    <w:p>
      <w:pPr>
        <w:jc w:val="both"/>
        <w:ind w:left="760" w:right="12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ongoing and planned clinical trials of our product candidates could negatively impact commercialization efforts; result in increased costs; and delay, prevent or limit our ability to gain regulatory approval of product candidates and to generate revenues and continue our business;</w:t>
      </w:r>
    </w:p>
    <w:p>
      <w:pPr>
        <w:spacing w:after="0" w:line="181" w:lineRule="exact"/>
        <w:rPr>
          <w:rFonts w:ascii="Arial" w:cs="Arial" w:eastAsia="Arial" w:hAnsi="Arial"/>
          <w:sz w:val="18"/>
          <w:szCs w:val="18"/>
          <w:color w:val="auto"/>
        </w:rPr>
      </w:pPr>
    </w:p>
    <w:p>
      <w:pPr>
        <w:ind w:left="760" w:right="14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is lengthy and uncertain; clinical trials of our novel gene therapy candidates may be delayed, including as a result of the COVID-19 pandemic, and certain programs may never advance in the clinic or may be more costly to conduct than we anticipate, any of which could have a material adverse impact on our business;</w:t>
      </w:r>
    </w:p>
    <w:p>
      <w:pPr>
        <w:spacing w:after="0" w:line="181" w:lineRule="exact"/>
        <w:rPr>
          <w:rFonts w:ascii="Arial" w:cs="Arial" w:eastAsia="Arial" w:hAnsi="Arial"/>
          <w:sz w:val="18"/>
          <w:szCs w:val="18"/>
          <w:color w:val="auto"/>
        </w:rPr>
      </w:pPr>
    </w:p>
    <w:p>
      <w:pPr>
        <w:ind w:left="760" w:right="160" w:hanging="378"/>
        <w:spacing w:after="0" w:line="212" w:lineRule="exact"/>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from pre-clinical and early</w:t>
      </w:r>
      <w:r>
        <w:rPr>
          <w:rFonts w:ascii="MS PGothic" w:cs="MS PGothic" w:eastAsia="MS PGothic" w:hAnsi="MS PGothic"/>
          <w:sz w:val="18"/>
          <w:szCs w:val="18"/>
          <w:color w:val="auto"/>
        </w:rPr>
        <w:t>‑</w:t>
      </w:r>
      <w:r>
        <w:rPr>
          <w:rFonts w:ascii="Arial" w:cs="Arial" w:eastAsia="Arial" w:hAnsi="Arial"/>
          <w:sz w:val="18"/>
          <w:szCs w:val="18"/>
          <w:color w:val="auto"/>
        </w:rPr>
        <w:t>stage clinical trials may not be indicative of efficacy in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 and pre-clinical and clinical trials may fail to demonstrate acceptable levels of safety, efficacy, and quality of our product candidates, which could prevent or significantly delay their regulatory approval;</w:t>
      </w:r>
    </w:p>
    <w:p>
      <w:pPr>
        <w:spacing w:after="0" w:line="189" w:lineRule="exact"/>
        <w:rPr>
          <w:rFonts w:ascii="Arial" w:cs="Arial" w:eastAsia="Arial" w:hAnsi="Arial"/>
          <w:sz w:val="18"/>
          <w:szCs w:val="18"/>
          <w:color w:val="auto"/>
        </w:rPr>
      </w:pPr>
    </w:p>
    <w:p>
      <w:pPr>
        <w:ind w:left="760" w:right="2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regulatory approval of product candidates, limit the commercial potential or result in significant negative consequences following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color w:val="auto"/>
        </w:rPr>
        <w:t>potential marketing approval;</w:t>
      </w:r>
    </w:p>
    <w:p>
      <w:pPr>
        <w:spacing w:after="0" w:line="198" w:lineRule="exact"/>
        <w:rPr>
          <w:sz w:val="20"/>
          <w:szCs w:val="20"/>
          <w:color w:val="auto"/>
        </w:rPr>
      </w:pPr>
    </w:p>
    <w:p>
      <w:pPr>
        <w:ind w:left="380" w:right="460" w:hanging="378"/>
        <w:spacing w:after="0" w:line="24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there are significant delays in obtaining or we are unable to obtain or maintain required regulatory approvals, we will not be able to commercialize our product candidates in a timely manner or at all, which could impair our ability to generate sufficient revenue and have a successful business;</w:t>
      </w:r>
    </w:p>
    <w:p>
      <w:pPr>
        <w:spacing w:after="0" w:line="181" w:lineRule="exact"/>
        <w:rPr>
          <w:rFonts w:ascii="Arial" w:cs="Arial" w:eastAsia="Arial" w:hAnsi="Arial"/>
          <w:sz w:val="18"/>
          <w:szCs w:val="18"/>
          <w:color w:val="auto"/>
        </w:rPr>
      </w:pPr>
    </w:p>
    <w:p>
      <w:pPr>
        <w:ind w:left="380" w:hanging="378"/>
        <w:spacing w:after="0" w:line="29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investing significant resources in the development of novel gene therapy product candidates. Only a few gene therapy products have been approved in the U.S. and the European Union (“EU”). If we are unable to show the safety and efficacy of these product candidates, experience delays in doing so or are unable to successfully commercialize at least one of these drugs, our business would be materially harmed;</w:t>
      </w:r>
    </w:p>
    <w:p>
      <w:pPr>
        <w:spacing w:after="0" w:line="133" w:lineRule="exact"/>
        <w:rPr>
          <w:rFonts w:ascii="Arial" w:cs="Arial" w:eastAsia="Arial" w:hAnsi="Arial"/>
          <w:sz w:val="16"/>
          <w:szCs w:val="16"/>
          <w:color w:val="auto"/>
        </w:rPr>
      </w:pPr>
    </w:p>
    <w:p>
      <w:pPr>
        <w:ind w:left="380" w:right="40" w:hanging="378"/>
        <w:spacing w:after="0" w:line="27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150" w:lineRule="exact"/>
        <w:rPr>
          <w:rFonts w:ascii="Arial" w:cs="Arial" w:eastAsia="Arial" w:hAnsi="Arial"/>
          <w:sz w:val="17"/>
          <w:szCs w:val="17"/>
          <w:color w:val="auto"/>
        </w:rPr>
      </w:pPr>
    </w:p>
    <w:p>
      <w:pPr>
        <w:ind w:left="380" w:right="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170" w:lineRule="exact"/>
        <w:rPr>
          <w:rFonts w:ascii="Arial" w:cs="Arial" w:eastAsia="Arial" w:hAnsi="Arial"/>
          <w:sz w:val="18"/>
          <w:szCs w:val="18"/>
          <w:color w:val="auto"/>
        </w:rPr>
      </w:pPr>
    </w:p>
    <w:p>
      <w:pPr>
        <w:ind w:left="380" w:right="12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our agreements with third parties to distribute our products to patients, our results of operations and business could be adversely affected;</w:t>
      </w:r>
    </w:p>
    <w:p>
      <w:pPr>
        <w:spacing w:after="0" w:line="157" w:lineRule="exact"/>
        <w:rPr>
          <w:rFonts w:ascii="Arial" w:cs="Arial" w:eastAsia="Arial" w:hAnsi="Arial"/>
          <w:sz w:val="18"/>
          <w:szCs w:val="18"/>
          <w:color w:val="auto"/>
        </w:rPr>
      </w:pPr>
    </w:p>
    <w:p>
      <w:pPr>
        <w:ind w:left="380" w:right="140" w:hanging="378"/>
        <w:spacing w:after="0" w:line="29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third parties to conduct some aspects of our early stage research and pre-clinical and clinical development. The inadequate performance by or loss of any of these third parties could affect the development and commercialization of our product candidate development. The third parties we use in the manufacturing process for our products and product candidates may fail to comply with cGMP regulations;</w:t>
      </w:r>
    </w:p>
    <w:p>
      <w:pPr>
        <w:spacing w:after="0" w:line="147" w:lineRule="exact"/>
        <w:rPr>
          <w:rFonts w:ascii="Arial" w:cs="Arial" w:eastAsia="Arial" w:hAnsi="Arial"/>
          <w:sz w:val="16"/>
          <w:szCs w:val="16"/>
          <w:color w:val="auto"/>
        </w:rPr>
      </w:pPr>
    </w:p>
    <w:p>
      <w:pPr>
        <w:ind w:left="380" w:right="40" w:hanging="378"/>
        <w:spacing w:after="0" w:line="262"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to successfully support various programs, including research and development and the potential commercialization of additional product candidates in our pipeline;</w:t>
      </w:r>
    </w:p>
    <w:p>
      <w:pPr>
        <w:spacing w:after="0" w:line="158" w:lineRule="exact"/>
        <w:rPr>
          <w:rFonts w:ascii="Arial" w:cs="Arial" w:eastAsia="Arial" w:hAnsi="Arial"/>
          <w:sz w:val="17"/>
          <w:szCs w:val="17"/>
          <w:color w:val="auto"/>
        </w:rPr>
      </w:pPr>
    </w:p>
    <w:p>
      <w:pPr>
        <w:ind w:left="380" w:hanging="378"/>
        <w:spacing w:after="0" w:line="32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Products intended for use in gene therapies are novel, complex and difficult to manufacture. We could experience production problems that result in delays in our development or commercialization of gene therapy programs, limit the supply of our products or otherwise harm our business;</w:t>
      </w:r>
    </w:p>
    <w:p>
      <w:pPr>
        <w:spacing w:after="0" w:line="124" w:lineRule="exact"/>
        <w:rPr>
          <w:rFonts w:ascii="Arial" w:cs="Arial" w:eastAsia="Arial" w:hAnsi="Arial"/>
          <w:sz w:val="16"/>
          <w:szCs w:val="16"/>
          <w:color w:val="auto"/>
        </w:rPr>
      </w:pPr>
    </w:p>
    <w:p>
      <w:pPr>
        <w:ind w:left="380" w:right="160" w:hanging="378"/>
        <w:spacing w:after="0" w:line="24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181" w:lineRule="exact"/>
        <w:rPr>
          <w:rFonts w:ascii="Arial" w:cs="Arial" w:eastAsia="Arial" w:hAnsi="Arial"/>
          <w:sz w:val="18"/>
          <w:szCs w:val="18"/>
          <w:color w:val="auto"/>
        </w:rPr>
      </w:pPr>
    </w:p>
    <w:p>
      <w:pPr>
        <w:jc w:val="both"/>
        <w:ind w:left="380" w:right="380" w:hanging="378"/>
        <w:spacing w:after="0" w:line="24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resulted and may continue to result in disruptions to our commercialization, clinical trials, manufacturing and other business operations, which could have a material adverse effect on our business, financial condition, operating results, cash flows and prospects;</w:t>
      </w:r>
    </w:p>
    <w:p>
      <w:pPr>
        <w:spacing w:after="0" w:line="181"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operating losses since our inception and we may not achieve or sustain profitability;</w:t>
      </w:r>
    </w:p>
    <w:p>
      <w:pPr>
        <w:spacing w:after="0" w:line="211" w:lineRule="exact"/>
        <w:rPr>
          <w:rFonts w:ascii="Arial" w:cs="Arial" w:eastAsia="Arial" w:hAnsi="Arial"/>
          <w:sz w:val="18"/>
          <w:szCs w:val="18"/>
          <w:color w:val="auto"/>
        </w:rPr>
      </w:pPr>
    </w:p>
    <w:p>
      <w:pPr>
        <w:ind w:left="380" w:right="12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0"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price is volatile and may fluctuate due to factors beyond our control;</w:t>
      </w:r>
    </w:p>
    <w:p>
      <w:pPr>
        <w:spacing w:after="0" w:line="211"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and operating results could fluctuate significantly, which may adversely affect our stock price; and</w:t>
      </w:r>
    </w:p>
    <w:p>
      <w:pPr>
        <w:spacing w:after="0" w:line="211"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resulting from our credit agreement could adversely affect our financial condition or restrict our future operations.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544"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We are a commercial-stage biopharmaceutical company focused on helping patients through the discovery and development of unique RNA-targeted therapeutics, gene therapy and other genetic therapeutic modalities for the treatment of rare diseases. Applying our proprietary, highly-differentiated and innovative technologies, and through collaborations with our strategic partners, we are developing potential therapeutic candidates for a broad range of diseases and disorders, including Duchenne muscular dystrophy (“Duchenne”), Limb-girdle muscular dystrophies (“LGMDs”) and other neuromuscular and central nervous system (“CNS”) related disorders.</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commercialize three products, all of which were granted accelerated approval by the FDA:</w:t>
      </w:r>
    </w:p>
    <w:p>
      <w:pPr>
        <w:spacing w:after="0" w:line="104" w:lineRule="exact"/>
        <w:rPr>
          <w:sz w:val="20"/>
          <w:szCs w:val="20"/>
          <w:color w:val="auto"/>
        </w:rPr>
      </w:pPr>
    </w:p>
    <w:p>
      <w:pPr>
        <w:ind w:left="1020" w:right="180" w:hanging="503"/>
        <w:spacing w:after="0" w:line="29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EXONDYS 51 (eteplirsen) Injection (“EXONDYS 51”), approved by the FDA on September 19, 2016, is indicated for the treatment of Duchenne in patients who have a confirmed mutation of the dystrophin gene that is amenable to exon 51 skipping. EXONDYS 51 uses our phosphorodiamidate morpholino oligomer (“PMO”) chemistry and exon-skipping technology to skip exon 51 of the dystrophin gene.</w:t>
      </w:r>
    </w:p>
    <w:p>
      <w:pPr>
        <w:spacing w:after="0" w:line="39" w:lineRule="exact"/>
        <w:rPr>
          <w:rFonts w:ascii="Arial" w:cs="Arial" w:eastAsia="Arial" w:hAnsi="Arial"/>
          <w:sz w:val="16"/>
          <w:szCs w:val="16"/>
          <w:color w:val="auto"/>
        </w:rPr>
      </w:pPr>
    </w:p>
    <w:p>
      <w:pPr>
        <w:ind w:left="1020" w:right="160" w:hanging="503"/>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VYONDYS 53 (golodirsen) Injection (“VYONDYS 53”), approved by the FDA on December 12, 2019, is indicated for the treatment of Duchenne in patients who have a confirmed mutation of the dystrophin gene that is amenable to exon 53 skipping. VYONDYS 53 uses our PMO chemistry and exon-skipping technology to skip exon 53 of the dystrophin gene.</w:t>
      </w:r>
    </w:p>
    <w:p>
      <w:pPr>
        <w:spacing w:after="0" w:line="73"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AMONDYS 45 (casimersen) Injection (“AMONDYS 45”), approved by the FDA on February 25, 2021, is indicated for the treatment of Duchenne in patients who have a confirmed mutation of the dystrophin gene that is amenable to exon 45 skipping. AMONDYS 45 uses our PMO chemistry and exon-skipping technology to skip exon 45 of the dystrophin gene.</w:t>
      </w:r>
    </w:p>
    <w:p>
      <w:pPr>
        <w:spacing w:after="0" w:line="18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Exon skipping is intended to promote the production of an internally truncated but functional dystrophin protein. The original PMO structure and variations of this structure that are so-called PMO-based (collectively “PMO-based”) are central to our proprietary chemistry platform. PMO technologies can be used to selectively up-regulate or down-regulate the production of a target protein through pre-mRNA splice alteration. PMO-based compounds have the potential to be designed to create more, less, or none of certain proteins, or produce analogues of endogenous proteins. This technology can be used to correct disease-causing genetic errors by inducing the targeted expression of novel proteins.</w:t>
      </w:r>
    </w:p>
    <w:p>
      <w:pPr>
        <w:spacing w:after="0" w:line="17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The PMO chemistry platform is highly adaptable, and we have developed next-generation PMO-based chemistries for advancing RNA-targeted therapeutics. These next-generation chemistries are specifically designed to enhance tissue targeting, intracellular delivery, target selectivity and drug potency. One of these novel technologies is based on cell-penetrating peptide-conjugated PMO (“PPMO”). The PPMO features covalent attachment of a cell-penetrating peptide to a PMO with the goal of enhanced delivery into the cell. Our most advanced PPMO product candidate is SRP-5051, which is designed to treat Duchenne in patients with genetic mutations amenable to exon 51 skipping.</w:t>
      </w:r>
    </w:p>
    <w:p>
      <w:pPr>
        <w:spacing w:after="0" w:line="174" w:lineRule="exact"/>
        <w:rPr>
          <w:sz w:val="20"/>
          <w:szCs w:val="20"/>
          <w:color w:val="auto"/>
        </w:rPr>
      </w:pPr>
    </w:p>
    <w:p>
      <w:pPr>
        <w:ind w:right="120" w:firstLine="749"/>
        <w:spacing w:after="0" w:line="262" w:lineRule="auto"/>
        <w:rPr>
          <w:sz w:val="20"/>
          <w:szCs w:val="20"/>
          <w:color w:val="auto"/>
        </w:rPr>
      </w:pPr>
      <w:r>
        <w:rPr>
          <w:rFonts w:ascii="Arial" w:cs="Arial" w:eastAsia="Arial" w:hAnsi="Arial"/>
          <w:sz w:val="17"/>
          <w:szCs w:val="17"/>
          <w:color w:val="auto"/>
        </w:rPr>
        <w:t>As part of our multifaceted approach to Duchenne, we are also developing gene therapy technologies to treat Duchenne. We are clinically developing a product candidate, SRP-9001, that aims to express a smaller but still functional version of dystrophin (“micro-dystrophin”). We use a unique adeno-associated virus (“AAV”) vector called AAVrh.74 to transport the transgene – the genetic material that will make the protein of interest – to the target cells. Micro-dystrophin is used because naturally-occurring dystrophin is too large to fit in an AAV.</w:t>
      </w:r>
    </w:p>
    <w:p>
      <w:pPr>
        <w:spacing w:after="0" w:line="172"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We are also developing gene therapy programs for various forms of LGMDs. Our most advanced LGMD product candidate, SRP-9003, is designed to transfer a gene that codes for and restores beta-sarcoglycan protein with the goal of restoring the dystrophin associated protein complex. SRP-9003 utilizes the AAVrh.74 vector, the same vector used in SRP-9001.</w:t>
      </w:r>
    </w:p>
    <w:p>
      <w:pPr>
        <w:spacing w:after="0" w:line="182"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Our pipeline includes more than 40 programs at various stages of discovery, pre-clinical and clinical development, reflecting our aspiration to apply our multifaceted approach and expertise in precision genetic medicine to make a profound difference in the lives of patients suffering from rare diseases.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Objectives and Business Strategy</w:t>
      </w:r>
    </w:p>
    <w:p>
      <w:pPr>
        <w:spacing w:after="0" w:line="108" w:lineRule="exact"/>
        <w:rPr>
          <w:sz w:val="20"/>
          <w:szCs w:val="20"/>
          <w:color w:val="auto"/>
        </w:rPr>
      </w:pPr>
    </w:p>
    <w:p>
      <w:pPr>
        <w:ind w:right="220" w:firstLine="749"/>
        <w:spacing w:after="0" w:line="262" w:lineRule="auto"/>
        <w:rPr>
          <w:sz w:val="20"/>
          <w:szCs w:val="20"/>
          <w:color w:val="auto"/>
        </w:rPr>
      </w:pPr>
      <w:r>
        <w:rPr>
          <w:rFonts w:ascii="Arial" w:cs="Arial" w:eastAsia="Arial" w:hAnsi="Arial"/>
          <w:sz w:val="17"/>
          <w:szCs w:val="17"/>
          <w:color w:val="auto"/>
        </w:rPr>
        <w:t>We believe that our proprietary technology platforms and collaborations can be used to develop novel pharmaceutical products to treat a broad range of diseases and address key currently-unmet medical needs. We intend to leverage our technology platforms, organizational capabilities, collaborations and resources to lead the field of precision genetic medicines, including the treatment of rare, neuromuscular and other diseases, with a diversified portfolio of product candidates. In pursuit of this objective, we intend to focus on the following activities:</w:t>
      </w:r>
    </w:p>
    <w:p>
      <w:pPr>
        <w:spacing w:after="0" w:line="64" w:lineRule="exact"/>
        <w:rPr>
          <w:sz w:val="20"/>
          <w:szCs w:val="20"/>
          <w:color w:val="auto"/>
        </w:rPr>
      </w:pPr>
    </w:p>
    <w:p>
      <w:pPr>
        <w:ind w:left="1260" w:right="200" w:hanging="503"/>
        <w:spacing w:after="0" w:line="261"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to build our gene therapy engine, including developing gene therapy product candidates, operationalizing our manufacturing strategy and furthering our commercial capabilities in preparation for potential regulatory approvals;</w:t>
      </w:r>
    </w:p>
    <w:p>
      <w:pPr>
        <w:spacing w:after="0" w:line="62" w:lineRule="exact"/>
        <w:rPr>
          <w:rFonts w:ascii="Arial" w:cs="Arial" w:eastAsia="Arial" w:hAnsi="Arial"/>
          <w:sz w:val="18"/>
          <w:szCs w:val="18"/>
          <w:color w:val="auto"/>
        </w:rPr>
      </w:pPr>
    </w:p>
    <w:p>
      <w:pPr>
        <w:ind w:left="1260" w:right="280" w:hanging="503"/>
        <w:spacing w:after="0" w:line="261"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advancing our RNA technologies (e.g., PMO and PPMO), launching potential approved products and supporting commercialization of approved products;</w:t>
      </w:r>
    </w:p>
    <w:p>
      <w:pPr>
        <w:spacing w:after="0" w:line="62" w:lineRule="exact"/>
        <w:rPr>
          <w:rFonts w:ascii="Arial" w:cs="Arial" w:eastAsia="Arial" w:hAnsi="Arial"/>
          <w:sz w:val="18"/>
          <w:szCs w:val="18"/>
          <w:color w:val="auto"/>
        </w:rPr>
      </w:pPr>
    </w:p>
    <w:p>
      <w:pPr>
        <w:ind w:left="1260" w:right="580" w:hanging="503"/>
        <w:spacing w:after="0" w:line="261"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next-generation precision medicine through internal research, strategic partnerships, collaborations and other potential opportunities; and</w:t>
      </w:r>
    </w:p>
    <w:p>
      <w:pPr>
        <w:spacing w:after="0" w:line="62"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to nurture our culture, which is based on strong patient focus, bias to action, a self-starter mentality, smart and appropriate risk-taking and high ethics.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Therapeutic Areas</w:t>
      </w:r>
    </w:p>
    <w:p>
      <w:pPr>
        <w:spacing w:after="0" w:line="108" w:lineRule="exact"/>
        <w:rPr>
          <w:sz w:val="20"/>
          <w:szCs w:val="20"/>
          <w:color w:val="auto"/>
        </w:rPr>
      </w:pPr>
    </w:p>
    <w:p>
      <w:pPr>
        <w:ind w:right="100" w:firstLine="749"/>
        <w:spacing w:after="0"/>
        <w:rPr>
          <w:sz w:val="20"/>
          <w:szCs w:val="20"/>
          <w:color w:val="auto"/>
        </w:rPr>
      </w:pPr>
      <w:r>
        <w:rPr>
          <w:rFonts w:ascii="Arial" w:cs="Arial" w:eastAsia="Arial" w:hAnsi="Arial"/>
          <w:sz w:val="18"/>
          <w:szCs w:val="18"/>
          <w:i w:val="1"/>
          <w:iCs w:val="1"/>
          <w:color w:val="auto"/>
        </w:rPr>
        <w:t>Duchenne</w:t>
      </w:r>
      <w:r>
        <w:rPr>
          <w:rFonts w:ascii="Arial" w:cs="Arial" w:eastAsia="Arial" w:hAnsi="Arial"/>
          <w:sz w:val="18"/>
          <w:szCs w:val="18"/>
          <w:color w:val="auto"/>
        </w:rPr>
        <w:t>: We primarily focus on rapidly advancing the development of our potentially disease-modifying pipeline of exon-skipping, gene</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and gene editing product candidates targeting Duchenne. Duchenne is a rare X-linked recessive genetic disorder affecting children (primarily males) that is characterized by progressive muscle deterioration and weakness. It is the most common type of muscular dystrophy. Duchenne is caused by an absence of dystrophin, a protein that protects muscle cells. The absence of dystrophin in muscle cells leads to significant cell damage and ultimately causes muscle cell death and fibrotic replacement. In the absence of dystrophin protein, affected individuals generally experience the following symptoms, although disease severity and life expectancy vary:</w:t>
      </w:r>
    </w:p>
    <w:p>
      <w:pPr>
        <w:spacing w:after="0" w:line="81" w:lineRule="exact"/>
        <w:rPr>
          <w:sz w:val="20"/>
          <w:szCs w:val="20"/>
          <w:color w:val="auto"/>
        </w:rPr>
      </w:pPr>
    </w:p>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muscle damage characterized by inflammation, fibrosis and loss of myofibers beginning at an early age;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muscle weakness and progressive loss of muscle function beginning in the first few years of life;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 of ambulation and respiratory function after the age of seven;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loss of ambulation in the pre-teenage or early teenage years;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progressive loss of upper extremity function during mid- to late-teens;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respiratory and/or cardiac failure, resulting in death before the age of 30.</w:t>
      </w:r>
    </w:p>
    <w:p>
      <w:pPr>
        <w:spacing w:after="0" w:line="212"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i w:val="1"/>
          <w:iCs w:val="1"/>
          <w:color w:val="auto"/>
        </w:rPr>
        <w:t xml:space="preserve">LGMDs </w:t>
      </w:r>
      <w:r>
        <w:rPr>
          <w:rFonts w:ascii="Arial" w:cs="Arial" w:eastAsia="Arial" w:hAnsi="Arial"/>
          <w:sz w:val="18"/>
          <w:szCs w:val="18"/>
          <w:color w:val="auto"/>
        </w:rPr>
        <w:t>are autosomal recessive, monogenic, rare neuromuscular diseases caused by missense and deletion mutations. These diseases affect</w:t>
      </w:r>
      <w:r>
        <w:rPr>
          <w:rFonts w:ascii="Arial" w:cs="Arial" w:eastAsia="Arial" w:hAnsi="Arial"/>
          <w:sz w:val="18"/>
          <w:szCs w:val="18"/>
          <w:i w:val="1"/>
          <w:iCs w:val="1"/>
          <w:color w:val="auto"/>
        </w:rPr>
        <w:t xml:space="preserve"> </w:t>
      </w:r>
      <w:r>
        <w:rPr>
          <w:rFonts w:ascii="Arial" w:cs="Arial" w:eastAsia="Arial" w:hAnsi="Arial"/>
          <w:sz w:val="18"/>
          <w:szCs w:val="18"/>
          <w:color w:val="auto"/>
        </w:rPr>
        <w:t>males and females equally. Some types of LGMDs affect skeletal muscle and cardiac muscle. More severe forms of LGMDs mimic Duchenne. LGMDs as a class affect an estimated range of approximately 1 in every 14,500 to 1 in every 123,000 individuals. Currently, there are no available treatment options for LGMDs.</w:t>
      </w:r>
    </w:p>
    <w:p>
      <w:pPr>
        <w:spacing w:after="0" w:line="174" w:lineRule="exact"/>
        <w:rPr>
          <w:sz w:val="20"/>
          <w:szCs w:val="20"/>
          <w:color w:val="auto"/>
        </w:rPr>
      </w:pPr>
    </w:p>
    <w:p>
      <w:pPr>
        <w:ind w:right="40" w:firstLine="749"/>
        <w:spacing w:after="0"/>
        <w:rPr>
          <w:sz w:val="20"/>
          <w:szCs w:val="20"/>
          <w:color w:val="auto"/>
        </w:rPr>
      </w:pPr>
      <w:r>
        <w:rPr>
          <w:rFonts w:ascii="Arial" w:cs="Arial" w:eastAsia="Arial" w:hAnsi="Arial"/>
          <w:sz w:val="17"/>
          <w:szCs w:val="17"/>
          <w:i w:val="1"/>
          <w:iCs w:val="1"/>
          <w:color w:val="auto"/>
        </w:rPr>
        <w:t xml:space="preserve">Charcot-Marie-Tooth (“CMT”) Disease </w:t>
      </w:r>
      <w:r>
        <w:rPr>
          <w:rFonts w:ascii="Arial" w:cs="Arial" w:eastAsia="Arial" w:hAnsi="Arial"/>
          <w:sz w:val="17"/>
          <w:szCs w:val="17"/>
          <w:color w:val="auto"/>
        </w:rPr>
        <w:t>is a group of hereditary, degenerative nerve diseases that are caused by mutations in genes that produce</w:t>
      </w:r>
      <w:r>
        <w:rPr>
          <w:rFonts w:ascii="Arial" w:cs="Arial" w:eastAsia="Arial" w:hAnsi="Arial"/>
          <w:sz w:val="17"/>
          <w:szCs w:val="17"/>
          <w:i w:val="1"/>
          <w:iCs w:val="1"/>
          <w:color w:val="auto"/>
        </w:rPr>
        <w:t xml:space="preserve"> </w:t>
      </w:r>
      <w:r>
        <w:rPr>
          <w:rFonts w:ascii="Arial" w:cs="Arial" w:eastAsia="Arial" w:hAnsi="Arial"/>
          <w:sz w:val="17"/>
          <w:szCs w:val="17"/>
          <w:color w:val="auto"/>
        </w:rPr>
        <w:t>proteins involved in the structure and function of either the peripheral nerve axon or the myelin sheath. CMT can cause degeneration of motor skills, resulting in muscle weakness, and limiting patients’ ability to walk or use their hands, and in some cases, can cause degeneration of sensory nerves, resulting in a reduced ability to feel heat, cold, and pain. CMT affects approximately 1 in every 2,500 individuals, while CMT type 1A, which is most often caused by an extra copy of the PMP22 gene, affects approximately 50,000 patients in the U.S. Most patients are diagnosed at infancy, while other patients develop symptoms at adolescence. Currently, there are no available treatment options.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Commercial Products</w:t>
      </w:r>
    </w:p>
    <w:p>
      <w:pPr>
        <w:spacing w:after="0" w:line="94" w:lineRule="exact"/>
        <w:rPr>
          <w:sz w:val="20"/>
          <w:szCs w:val="20"/>
          <w:color w:val="auto"/>
        </w:rPr>
      </w:pPr>
    </w:p>
    <w:p>
      <w:pPr>
        <w:ind w:firstLine="749"/>
        <w:spacing w:after="0" w:line="237" w:lineRule="auto"/>
        <w:rPr>
          <w:sz w:val="20"/>
          <w:szCs w:val="20"/>
          <w:color w:val="auto"/>
        </w:rPr>
      </w:pPr>
      <w:r>
        <w:rPr>
          <w:rFonts w:ascii="Arial" w:cs="Arial" w:eastAsia="Arial" w:hAnsi="Arial"/>
          <w:sz w:val="17"/>
          <w:szCs w:val="17"/>
          <w:i w:val="1"/>
          <w:iCs w:val="1"/>
          <w:u w:val="single" w:color="auto"/>
          <w:color w:val="auto"/>
        </w:rPr>
        <w:t>EXONDYS 51</w:t>
      </w:r>
      <w:r>
        <w:rPr>
          <w:rFonts w:ascii="Arial" w:cs="Arial" w:eastAsia="Arial" w:hAnsi="Arial"/>
          <w:sz w:val="17"/>
          <w:szCs w:val="17"/>
          <w:color w:val="auto"/>
        </w:rPr>
        <w:t>, our first commercial product, approved by the FDA on September 19, 2016, is indicated for the treatment of Duchenne in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who have a confirmed mutation of the dystrophin gene that is amenable to exon 51 skipping. EXONDYS 51 uses our PMO chemistry and exon-skipping technology to skip exon 51 of the dystrophin gene. PMO-based compounds are synthetic compounds that bind to complementary sequences of RNA by standard Watson-Crick nucleobase pairing. The two key structural differences between PMO-based compounds and naturally occurring RNA are that the PMO nucleobases are bound to synthetic morpholino rings instead of ribose rings, and the morpholino rings are linked by phosphorodiamidate groups instead of phosphodiester groups. Replacement of the negatively charged phosphodiester in RNA with the uncharged phosphorodiamidate group in PMO eliminates linkage ionization at physiological pH. Due to these modifications, PMO-based compounds are resistant to degradation by plasma and intracellular enzymes. Unlike the RNA-targeted technologies such as siRNAs and DNA gapmers, PMO-based compounds operate by steric blockade rather than by cellular enzymatic degradation to achieve their biological effects. Thus, PMOs use a fundamentally different mechanism from other RNA-targeted technologies.</w:t>
      </w:r>
    </w:p>
    <w:p>
      <w:pPr>
        <w:spacing w:after="0" w:line="176" w:lineRule="exact"/>
        <w:rPr>
          <w:sz w:val="20"/>
          <w:szCs w:val="20"/>
          <w:color w:val="auto"/>
        </w:rPr>
      </w:pPr>
    </w:p>
    <w:p>
      <w:pPr>
        <w:ind w:right="300" w:firstLine="749"/>
        <w:spacing w:after="0" w:line="246" w:lineRule="auto"/>
        <w:rPr>
          <w:sz w:val="20"/>
          <w:szCs w:val="20"/>
          <w:color w:val="auto"/>
        </w:rPr>
      </w:pPr>
      <w:r>
        <w:rPr>
          <w:rFonts w:ascii="Arial" w:cs="Arial" w:eastAsia="Arial" w:hAnsi="Arial"/>
          <w:sz w:val="18"/>
          <w:szCs w:val="18"/>
          <w:color w:val="auto"/>
        </w:rPr>
        <w:t>EXONDYS 51 targets the most frequent series of mutations that cause Duchenne. Approximately 13% of Duchenne patients are amenable to exon 51 skipping.</w:t>
      </w:r>
    </w:p>
    <w:p>
      <w:pPr>
        <w:spacing w:after="0" w:line="170"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We are in the process of conducting various EXONDYS 51 clinical trials, including studies that are required to comply with our post-marketing FDA requirements and commitments to verify and describe the clinical benefit of EXONDYS 51.</w:t>
      </w:r>
    </w:p>
    <w:p>
      <w:pPr>
        <w:spacing w:after="0" w:line="170" w:lineRule="exact"/>
        <w:rPr>
          <w:sz w:val="20"/>
          <w:szCs w:val="20"/>
          <w:color w:val="auto"/>
        </w:rPr>
      </w:pPr>
    </w:p>
    <w:p>
      <w:pPr>
        <w:ind w:right="140" w:firstLine="749"/>
        <w:spacing w:after="0" w:line="231" w:lineRule="auto"/>
        <w:rPr>
          <w:sz w:val="20"/>
          <w:szCs w:val="20"/>
          <w:color w:val="auto"/>
        </w:rPr>
      </w:pPr>
      <w:r>
        <w:rPr>
          <w:rFonts w:ascii="Arial" w:cs="Arial" w:eastAsia="Arial" w:hAnsi="Arial"/>
          <w:sz w:val="18"/>
          <w:szCs w:val="18"/>
          <w:i w:val="1"/>
          <w:iCs w:val="1"/>
          <w:u w:val="single" w:color="auto"/>
          <w:color w:val="auto"/>
        </w:rPr>
        <w:t>VYONDYS 53</w:t>
      </w:r>
      <w:r>
        <w:rPr>
          <w:rFonts w:ascii="Arial" w:cs="Arial" w:eastAsia="Arial" w:hAnsi="Arial"/>
          <w:sz w:val="18"/>
          <w:szCs w:val="18"/>
          <w:color w:val="auto"/>
        </w:rPr>
        <w:t>, our second commercial product, approved by the FDA on December 12, 2019, is indicated for the treatment of Duchenne in</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who have a confirmed mutation of the dystrophin gene that is amenable to exon 53 skipping. VYONDYS 53 uses our PMO chemistry and exon-skipping technology to skip exon 53 of the dystrophin gene. VYONDYS 53 has the potential to offer treatment to up to 8% of Duchenne patients who are amenable to exon 53 skipping.</w:t>
      </w:r>
    </w:p>
    <w:p>
      <w:pPr>
        <w:spacing w:after="0" w:line="175"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We are in the process of conducting various VYONDYS 53 clinical trials, including studies that are required to comply with our post-marketing FDA requirements and commitments to verify and describe the clinical benefit of VYONDYS 53.</w:t>
      </w:r>
    </w:p>
    <w:p>
      <w:pPr>
        <w:spacing w:after="0" w:line="170" w:lineRule="exact"/>
        <w:rPr>
          <w:sz w:val="20"/>
          <w:szCs w:val="20"/>
          <w:color w:val="auto"/>
        </w:rPr>
      </w:pPr>
    </w:p>
    <w:p>
      <w:pPr>
        <w:ind w:right="40" w:firstLine="749"/>
        <w:spacing w:after="0" w:line="231" w:lineRule="auto"/>
        <w:rPr>
          <w:sz w:val="20"/>
          <w:szCs w:val="20"/>
          <w:color w:val="auto"/>
        </w:rPr>
      </w:pPr>
      <w:r>
        <w:rPr>
          <w:rFonts w:ascii="Arial" w:cs="Arial" w:eastAsia="Arial" w:hAnsi="Arial"/>
          <w:sz w:val="18"/>
          <w:szCs w:val="18"/>
          <w:i w:val="1"/>
          <w:iCs w:val="1"/>
          <w:u w:val="single" w:color="auto"/>
          <w:color w:val="auto"/>
        </w:rPr>
        <w:t>AMONDYS 45</w:t>
      </w:r>
      <w:r>
        <w:rPr>
          <w:rFonts w:ascii="Arial" w:cs="Arial" w:eastAsia="Arial" w:hAnsi="Arial"/>
          <w:sz w:val="18"/>
          <w:szCs w:val="18"/>
          <w:color w:val="auto"/>
        </w:rPr>
        <w:t>, our third commercial product, approved by the FDA on February 25, 2021, is indicated for the treatment of Duchenne in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who have a confirmed mutation of the dystrophin gene that is amenable to exon 45 skipping. AMONDYS 45 uses our PMO chemistry and exon-skipping technology to skip exon 45 of the dystrophin gene. AMONDYS 45 has the potential to offer treatment to up to 8% of Duchenne patients who are amenable to exon 45 skipping.</w:t>
      </w:r>
    </w:p>
    <w:p>
      <w:pPr>
        <w:spacing w:after="0" w:line="175"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We are in the process of conducting various AMONDYS 45 clinical trials, including studies that are required to comply with our post-marketing FDA requirements and commitments to verify and describe the clinical benefit of AMONDYS 45.</w:t>
      </w:r>
    </w:p>
    <w:p>
      <w:pPr>
        <w:spacing w:after="0" w:line="170" w:lineRule="exact"/>
        <w:rPr>
          <w:sz w:val="20"/>
          <w:szCs w:val="20"/>
          <w:color w:val="auto"/>
        </w:rPr>
      </w:pPr>
    </w:p>
    <w:p>
      <w:pPr>
        <w:ind w:right="460" w:firstLine="749"/>
        <w:spacing w:after="0" w:line="246" w:lineRule="auto"/>
        <w:rPr>
          <w:sz w:val="20"/>
          <w:szCs w:val="20"/>
          <w:color w:val="auto"/>
        </w:rPr>
      </w:pPr>
      <w:r>
        <w:rPr>
          <w:rFonts w:ascii="Arial" w:cs="Arial" w:eastAsia="Arial" w:hAnsi="Arial"/>
          <w:sz w:val="18"/>
          <w:szCs w:val="18"/>
          <w:color w:val="auto"/>
        </w:rPr>
        <w:t>For the years ended December 31, 2021, 2020 and 2019, the Company recorded net revenues of $612.4 million, $455.9 million and $380.8 million, respectively, related to the sale of our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 Key Programs</w:t>
      </w:r>
    </w:p>
    <w:p>
      <w:pPr>
        <w:spacing w:after="0" w:line="94" w:lineRule="exact"/>
        <w:rPr>
          <w:sz w:val="20"/>
          <w:szCs w:val="20"/>
          <w:color w:val="auto"/>
        </w:rPr>
      </w:pPr>
    </w:p>
    <w:p>
      <w:pPr>
        <w:ind w:right="40" w:firstLine="749"/>
        <w:spacing w:after="0" w:line="261" w:lineRule="auto"/>
        <w:rPr>
          <w:sz w:val="20"/>
          <w:szCs w:val="20"/>
          <w:color w:val="auto"/>
        </w:rPr>
      </w:pPr>
      <w:r>
        <w:rPr>
          <w:rFonts w:ascii="Arial" w:cs="Arial" w:eastAsia="Arial" w:hAnsi="Arial"/>
          <w:sz w:val="16"/>
          <w:szCs w:val="16"/>
          <w:i w:val="1"/>
          <w:iCs w:val="1"/>
          <w:u w:val="single" w:color="auto"/>
          <w:color w:val="auto"/>
        </w:rPr>
        <w:t>SRP-5051</w:t>
      </w:r>
      <w:r>
        <w:rPr>
          <w:rFonts w:ascii="Arial" w:cs="Arial" w:eastAsia="Arial" w:hAnsi="Arial"/>
          <w:sz w:val="16"/>
          <w:szCs w:val="16"/>
          <w:i w:val="1"/>
          <w:iCs w:val="1"/>
          <w:color w:val="auto"/>
        </w:rPr>
        <w:t xml:space="preserve"> </w:t>
      </w:r>
      <w:r>
        <w:rPr>
          <w:rFonts w:ascii="Arial" w:cs="Arial" w:eastAsia="Arial" w:hAnsi="Arial"/>
          <w:sz w:val="16"/>
          <w:szCs w:val="16"/>
          <w:color w:val="auto"/>
        </w:rPr>
        <w:t>uses our next-generation chemistry platform, PPMO, and our exon-skipping technology to skip exon 51 of the dystrophin gene. The</w:t>
      </w:r>
      <w:r>
        <w:rPr>
          <w:rFonts w:ascii="Arial" w:cs="Arial" w:eastAsia="Arial" w:hAnsi="Arial"/>
          <w:sz w:val="16"/>
          <w:szCs w:val="16"/>
          <w:i w:val="1"/>
          <w:iCs w:val="1"/>
          <w:color w:val="auto"/>
        </w:rPr>
        <w:t xml:space="preserve"> </w:t>
      </w:r>
      <w:r>
        <w:rPr>
          <w:rFonts w:ascii="Arial" w:cs="Arial" w:eastAsia="Arial" w:hAnsi="Arial"/>
          <w:sz w:val="16"/>
          <w:szCs w:val="16"/>
          <w:color w:val="auto"/>
        </w:rPr>
        <w:t>PPMO technology features covalent attachment of a cell-penetrating peptide to a PMO with the goal of enhanced delivery into the cell. In pre-clinical research, our proprietary class of PPMO compounds demonstrated an increase in dystrophin production and a more durable response compared to PMO. In addition, PPMO treatment in non-human primates results in high levels of exon-skipping in skeletal, cardiac and smooth muscle tissues. Pre-clinical trials also indicate that PPMOs may require less frequent dosing than PMOs, and that PPMOs could potentially be tailored to reach other organs beyond muscle.</w:t>
      </w:r>
    </w:p>
    <w:p>
      <w:pPr>
        <w:spacing w:after="0" w:line="161" w:lineRule="exact"/>
        <w:rPr>
          <w:sz w:val="20"/>
          <w:szCs w:val="20"/>
          <w:color w:val="auto"/>
        </w:rPr>
      </w:pPr>
    </w:p>
    <w:p>
      <w:pPr>
        <w:ind w:right="80" w:firstLine="749"/>
        <w:spacing w:after="0" w:line="242" w:lineRule="auto"/>
        <w:rPr>
          <w:sz w:val="20"/>
          <w:szCs w:val="20"/>
          <w:color w:val="auto"/>
        </w:rPr>
      </w:pPr>
      <w:r>
        <w:rPr>
          <w:rFonts w:ascii="Arial" w:cs="Arial" w:eastAsia="Arial" w:hAnsi="Arial"/>
          <w:sz w:val="17"/>
          <w:szCs w:val="17"/>
          <w:color w:val="auto"/>
        </w:rPr>
        <w:t>In the fourth quarter of 2017, we commenced a first-in-human, single ascending dose, trial for the treatment of Duchenne using SRP-5051 in patients who are amenable to exon 51 skipping. In 2019, we commenced a multiple ascending dose study for the treatment of Duchenne with SRP-5051 in patients who are amenable to exon 51 skipping (“Study 5051-201”). In December 2020, we announced an interim analysis on clinical results from the 10 mg/kg and 20 mg/kg dose cohorts of Part A of Study 5051-201. In May 2021, we announced results from the 30 mg/kg cohort of Part A of Study 5051-201. We initiated Part B of Study 5051-201 in the fourth quarter of 2021 and are currently enrolling patients.</w:t>
      </w:r>
    </w:p>
    <w:p>
      <w:pPr>
        <w:spacing w:after="0" w:line="175" w:lineRule="exact"/>
        <w:rPr>
          <w:sz w:val="20"/>
          <w:szCs w:val="20"/>
          <w:color w:val="auto"/>
        </w:rPr>
      </w:pPr>
    </w:p>
    <w:p>
      <w:pPr>
        <w:ind w:right="60" w:firstLine="749"/>
        <w:spacing w:after="0" w:line="228" w:lineRule="auto"/>
        <w:rPr>
          <w:sz w:val="20"/>
          <w:szCs w:val="20"/>
          <w:color w:val="auto"/>
        </w:rPr>
      </w:pPr>
      <w:r>
        <w:rPr>
          <w:rFonts w:ascii="Arial" w:cs="Arial" w:eastAsia="Arial" w:hAnsi="Arial"/>
          <w:sz w:val="18"/>
          <w:szCs w:val="18"/>
          <w:i w:val="1"/>
          <w:iCs w:val="1"/>
          <w:u w:val="single" w:color="auto"/>
          <w:color w:val="auto"/>
        </w:rPr>
        <w:t>SRP-9001 (Duchenne, micro-dystrophin gene therapy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aims to express micro-dystrophin – a smaller but still functional version of</w:t>
      </w:r>
      <w:r>
        <w:rPr>
          <w:rFonts w:ascii="Arial" w:cs="Arial" w:eastAsia="Arial" w:hAnsi="Arial"/>
          <w:sz w:val="18"/>
          <w:szCs w:val="18"/>
          <w:i w:val="1"/>
          <w:iCs w:val="1"/>
          <w:color w:val="auto"/>
        </w:rPr>
        <w:t xml:space="preserve"> </w:t>
      </w:r>
      <w:r>
        <w:rPr>
          <w:rFonts w:ascii="Arial" w:cs="Arial" w:eastAsia="Arial" w:hAnsi="Arial"/>
          <w:sz w:val="18"/>
          <w:szCs w:val="18"/>
          <w:color w:val="auto"/>
        </w:rPr>
        <w:t>dystrophin. A unique, engineered micro-dystrophin is used because naturally-occurring dystrophin is too large to fit in an AAV vector. SRP-9001 employs the AAVrh.74 vector, which is designed to be systemically and robustly delivered to skeletal, diaphragm and cardiac muscle without promiscuously crossing the blood brain barrier, which we believe makes it a strong candidate to treat peripheral neuromuscular diseases. An MHCK7 promoter was chosen for its ability to robustly express in the heart,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4" w:right="359" w:bottom="1440" w:gutter="0" w:footer="0" w:header="0"/>
        </w:sectPr>
      </w:pPr>
    </w:p>
    <w:bookmarkStart w:id="8" w:name="page9"/>
    <w:bookmarkEnd w:id="8"/>
    <w:p>
      <w:pPr>
        <w:ind w:right="40"/>
        <w:spacing w:after="0" w:line="246" w:lineRule="auto"/>
        <w:rPr>
          <w:sz w:val="20"/>
          <w:szCs w:val="20"/>
          <w:color w:val="auto"/>
        </w:rPr>
      </w:pPr>
      <w:r>
        <w:rPr>
          <w:rFonts w:ascii="Arial" w:cs="Arial" w:eastAsia="Arial" w:hAnsi="Arial"/>
          <w:sz w:val="18"/>
          <w:szCs w:val="18"/>
          <w:color w:val="auto"/>
        </w:rPr>
        <w:t>which is critically important for patients with Duchenne, who typically die from pulmonary or cardiac complications. Lastly, the transgene was designed to maintain spectrin-like repeats 2 and 3, which has been reported to be critical to maintaining muscle force.</w:t>
      </w:r>
    </w:p>
    <w:p>
      <w:pPr>
        <w:spacing w:after="0" w:line="170" w:lineRule="exact"/>
        <w:rPr>
          <w:sz w:val="20"/>
          <w:szCs w:val="20"/>
          <w:color w:val="auto"/>
        </w:rPr>
      </w:pPr>
    </w:p>
    <w:p>
      <w:pPr>
        <w:ind w:firstLine="749"/>
        <w:spacing w:after="0" w:line="252" w:lineRule="auto"/>
        <w:rPr>
          <w:sz w:val="20"/>
          <w:szCs w:val="20"/>
          <w:color w:val="auto"/>
        </w:rPr>
      </w:pPr>
      <w:r>
        <w:rPr>
          <w:rFonts w:ascii="Arial" w:cs="Arial" w:eastAsia="Arial" w:hAnsi="Arial"/>
          <w:sz w:val="16"/>
          <w:szCs w:val="16"/>
          <w:color w:val="auto"/>
        </w:rPr>
        <w:t>In the fourth quarter of 2017, an investigational new drug (“IND”) application for the micro-dystrophin gene therapy program was cleared by the FDA, and a Phase 1/2a clinical trial in individuals with Duchenne was initiated (Study 101). In October 2018, Nationwide Children’s Hospital (“Nationwide”) presented updated results from Study 101 in four individuals with Duchenne enrolled in the trial. In March 2019, we presented nine-month functional and CK data from baseline from these four individuals, and twelve-month CK data from baseline from one of these individuals. In the fourth quarter of 2018, we commenced a randomized, double-blind, placebo-controlled trial of SRP-9001 with the goal to establish the functional benefits of micro-dystrophin expressions (Study 102). In January 2021, we released top-line results for Part 1 of Study 102 (the 48-week assessment of the 41 participants) and interim expression results from Part 2 of Study 102 (the crossover phase). We announced topline results for Part 2 of Study 102 in January 2022. In May 2021, we announced 12-week expression and safety results from the first 11 participants enrolled in Study 103, an open-label study evaluating the safety and expression of commercially representative material for SRP-9001 (Study 103). In October 2021, we announced functional data from the first 11 patients and tolerability data for all 32 patients enrolled in Study 103. We also initiated our pivotal trial of SRP-9001 for the treatment of Duchenne (Study 301) in October 2021 and are currently enrolling patients. We expect to announce additional data for SRP-9001 in 2022.</w:t>
      </w:r>
    </w:p>
    <w:p>
      <w:pPr>
        <w:spacing w:after="0" w:line="170" w:lineRule="exact"/>
        <w:rPr>
          <w:sz w:val="20"/>
          <w:szCs w:val="20"/>
          <w:color w:val="auto"/>
        </w:rPr>
      </w:pPr>
    </w:p>
    <w:p>
      <w:pPr>
        <w:ind w:right="20" w:firstLine="749"/>
        <w:spacing w:after="0" w:line="227" w:lineRule="auto"/>
        <w:rPr>
          <w:sz w:val="20"/>
          <w:szCs w:val="20"/>
          <w:color w:val="auto"/>
        </w:rPr>
      </w:pPr>
      <w:r>
        <w:rPr>
          <w:rFonts w:ascii="Arial" w:cs="Arial" w:eastAsia="Arial" w:hAnsi="Arial"/>
          <w:sz w:val="18"/>
          <w:szCs w:val="18"/>
          <w:i w:val="1"/>
          <w:iCs w:val="1"/>
          <w:u w:val="single" w:color="auto"/>
          <w:color w:val="auto"/>
        </w:rPr>
        <w:t>SRP-9003 (LGMD, gene therapy program)</w:t>
      </w:r>
      <w:r>
        <w:rPr>
          <w:rFonts w:ascii="Arial" w:cs="Arial" w:eastAsia="Arial" w:hAnsi="Arial"/>
          <w:sz w:val="18"/>
          <w:szCs w:val="18"/>
          <w:color w:val="auto"/>
        </w:rPr>
        <w:t>. We are developing gene therapy programs for various types of LGMDs. Our LGMD programs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AAVrh.74 vector, the same vector used in the micro-dystrophin gene therapy program, to transfect a restorative gene. The most advanced of our LGMD product candidates, SRP-9003, aims to treat LGMD2E, also known as beta-sarcoglycanopathy, a severe and debilitating form of LGMD characterized by progressive muscle fiber loss, inflammation and muscle fiber replacement with fat and fibrotic tissue. SRP-9003 is designed to transfect a gene that codes for and restores beta-sarcoglycan protein with the goal of restoring the dystrophin associated protein complex. SRP-9003 has generated positive pre-clinical safety and efficacy data utilizing the AAVrh.74 vector.</w:t>
      </w:r>
    </w:p>
    <w:p>
      <w:pPr>
        <w:spacing w:after="0" w:line="175" w:lineRule="exact"/>
        <w:rPr>
          <w:sz w:val="20"/>
          <w:szCs w:val="20"/>
          <w:color w:val="auto"/>
        </w:rPr>
      </w:pPr>
    </w:p>
    <w:p>
      <w:pPr>
        <w:ind w:firstLine="749"/>
        <w:spacing w:after="0" w:line="258" w:lineRule="auto"/>
        <w:rPr>
          <w:sz w:val="20"/>
          <w:szCs w:val="20"/>
          <w:color w:val="auto"/>
        </w:rPr>
      </w:pPr>
      <w:r>
        <w:rPr>
          <w:rFonts w:ascii="Arial" w:cs="Arial" w:eastAsia="Arial" w:hAnsi="Arial"/>
          <w:sz w:val="16"/>
          <w:szCs w:val="16"/>
          <w:color w:val="auto"/>
        </w:rPr>
        <w:t>A Phase 1/2a trial of SRP-9003 was commenced in the fourth quarter of 2018. In February 2019, we announced two-month biopsy data from the first three-patient cohort dosed in the SRP-9003 trial, and in October 2019, we announced nine-month functional data from these three patients. In June 2020, we announced safety and expression results from three clinical trial participants in the high-dose cohort measured at 60 days, and one-year functional data from three clinical trial participants in the high-dose cohort, and eighteen-month functional data from three clinical trial participants in the low-dose cohort. We also announced one-year functional data in the high-dose cohort and two-year functional data in the low-dose cohort in March 2021. We expect to complete GMP runs for SRP-9003 in 2022. We also plan to meet with the FDA in 2022 to discuss our pivotal trial.</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chart below summarizes the status of our programs, including those with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158115</wp:posOffset>
            </wp:positionV>
            <wp:extent cx="4740275" cy="7449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40275" cy="7449185"/>
                    </a:xfrm>
                    <a:prstGeom prst="rect">
                      <a:avLst/>
                    </a:prstGeom>
                    <a:noFill/>
                  </pic:spPr>
                </pic:pic>
              </a:graphicData>
            </a:graphic>
          </wp:anchor>
        </w:drawing>
      </w:r>
    </w:p>
    <w:p>
      <w:pPr>
        <w:sectPr>
          <w:pgSz w:w="11900" w:h="16838" w:orient="portrait"/>
          <w:cols w:equalWidth="0" w:num="1">
            <w:col w:w="9379"/>
          </w:cols>
          <w:pgMar w:left="108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3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94" w:lineRule="exact"/>
        <w:rPr>
          <w:sz w:val="20"/>
          <w:szCs w:val="20"/>
          <w:color w:val="auto"/>
        </w:rPr>
      </w:pPr>
    </w:p>
    <w:p>
      <w:pPr>
        <w:ind w:firstLine="749"/>
        <w:spacing w:after="0" w:line="237" w:lineRule="auto"/>
        <w:rPr>
          <w:sz w:val="20"/>
          <w:szCs w:val="20"/>
          <w:color w:val="auto"/>
        </w:rPr>
      </w:pPr>
      <w:r>
        <w:rPr>
          <w:rFonts w:ascii="Arial" w:cs="Arial" w:eastAsia="Arial" w:hAnsi="Arial"/>
          <w:sz w:val="17"/>
          <w:szCs w:val="17"/>
          <w:color w:val="auto"/>
        </w:rPr>
        <w:t>We have developed proprietary state-of-the-art Chemistry, Manufacturing and Controls (“CMC”) and manufacturing capabilities that allow manufacturing and testing of our products and product candidates to support both clinical development as well as commercialization. We continue to refine and optimize our manufacturing processes. We have entered into certain manufacturing and supply arrangements with third-party suppliers which will in part utilize these capabilities to support production of certain of our product candidates and their components. In 2017, we opened a facility in Andover, Massachusetts, which significantly enhanced our research and development manufacturing capabilities. However, we currently do not have internal large-scale Good Manufacturing Practices (“GMP”) manufacturing capabilities to produce our products and product candidates for commercial and/or clinical use. For our current and future manufacturing needs, we have entered into supply agreements with specialized contract manufacturing organizations (each a “CMO”) to produce custom raw materials, the active pharmaceutical ingredients (“APIs”), drug product and finished goods for our products and product candidates for both commercial and clinical use. All of our CMO partners have extensive technical expertise, GMP experience and experience manufacturing our specific technology.</w:t>
      </w:r>
    </w:p>
    <w:p>
      <w:pPr>
        <w:spacing w:after="0" w:line="68" w:lineRule="exact"/>
        <w:rPr>
          <w:sz w:val="20"/>
          <w:szCs w:val="20"/>
          <w:color w:val="auto"/>
        </w:rPr>
      </w:pPr>
    </w:p>
    <w:p>
      <w:pPr>
        <w:ind w:right="20" w:firstLine="749"/>
        <w:spacing w:after="0" w:line="261" w:lineRule="auto"/>
        <w:rPr>
          <w:sz w:val="20"/>
          <w:szCs w:val="20"/>
          <w:color w:val="auto"/>
        </w:rPr>
      </w:pPr>
      <w:r>
        <w:rPr>
          <w:rFonts w:ascii="Arial" w:cs="Arial" w:eastAsia="Arial" w:hAnsi="Arial"/>
          <w:sz w:val="16"/>
          <w:szCs w:val="16"/>
          <w:color w:val="auto"/>
        </w:rPr>
        <w:t>For our commercial Duchenne program, we have worked with our existing CMOs to increase product capacity from mid-scale to large-scale. While there are a limited number of companies that can produce raw materials and APIs in the quantities and with the quality and purity that we require for our commercial products, based on our diligence to date, we believe our current network of CMOs are able to fulfill these requirements, and are capable of expanding capacity as needed. Additionally, we have, and will continue to evaluate further relationships with additional suppliers to increase overall capacity as well as further reduce risks associated with reliance on a limited number of suppliers for manufacturing.</w:t>
      </w:r>
    </w:p>
    <w:p>
      <w:pPr>
        <w:spacing w:after="0" w:line="53" w:lineRule="exact"/>
        <w:rPr>
          <w:sz w:val="20"/>
          <w:szCs w:val="20"/>
          <w:color w:val="auto"/>
        </w:rPr>
      </w:pPr>
    </w:p>
    <w:p>
      <w:pPr>
        <w:ind w:right="80" w:firstLine="749"/>
        <w:spacing w:after="0" w:line="228" w:lineRule="auto"/>
        <w:rPr>
          <w:sz w:val="20"/>
          <w:szCs w:val="20"/>
          <w:color w:val="auto"/>
        </w:rPr>
      </w:pPr>
      <w:r>
        <w:rPr>
          <w:rFonts w:ascii="Arial" w:cs="Arial" w:eastAsia="Arial" w:hAnsi="Arial"/>
          <w:sz w:val="18"/>
          <w:szCs w:val="18"/>
          <w:color w:val="auto"/>
        </w:rPr>
        <w:t>Our commercial products are distributed in the U.S. through a limited network of home infusion specialty pharmacy providers that deliver the medication to patients and a specialty distributor that distributes our products to hospitals and hospital outpatient clinics. With respect to the pre-commercial distribution of our products to patients outside of the U.S., we have contracted with third party distributors and service providers to distribute our products in certain countries through our EAPs. We plan to continue building out our network for commercial distribution in jurisdictions in which our products are approved.</w:t>
      </w:r>
    </w:p>
    <w:p>
      <w:pPr>
        <w:spacing w:after="0" w:line="70" w:lineRule="exact"/>
        <w:rPr>
          <w:sz w:val="20"/>
          <w:szCs w:val="20"/>
          <w:color w:val="auto"/>
        </w:rPr>
      </w:pPr>
    </w:p>
    <w:p>
      <w:pPr>
        <w:ind w:right="120" w:firstLine="749"/>
        <w:spacing w:after="0" w:line="237" w:lineRule="auto"/>
        <w:rPr>
          <w:sz w:val="20"/>
          <w:szCs w:val="20"/>
          <w:color w:val="auto"/>
        </w:rPr>
      </w:pPr>
      <w:r>
        <w:rPr>
          <w:rFonts w:ascii="Arial" w:cs="Arial" w:eastAsia="Arial" w:hAnsi="Arial"/>
          <w:sz w:val="17"/>
          <w:szCs w:val="17"/>
          <w:color w:val="auto"/>
        </w:rPr>
        <w:t>Our gene therapy manufacturing capabilities have been greatly enhanced through partnerships with Thermo Fisher Scientific Inc. (“Thermo”), Catalent, Inc. (“Catalent”) and Aldevron LLC (“Aldevron”). We have adopted a hybrid development and manufacturing strategy in which we are building internal manufacturing expertise relative to all aspects of AAV-based manufacturing, including gene therapy and gene editing supply, while closely partnering with first-in-class manufacturing partners to expedite development and commercialization of our gene therapy programs. We expect that our partnerships with Thermo and Catalent will support our clinical and commercial manufacturing capacity for our micro-dystrophin Duchenne program and LGMD programs, while also acting as a manufacturing platform for potential future gene therapy programs. The collaboration integrates process development, clinical production and testing, and commercial manufacturing. Aldevron is expected to provide GMP-grade plasmid for our SRP-9001 micro-dystrophin Duchenne program and LGMD programs, as well as plasmid source material for future gene therapy programs, such as CMT and other neuromuscular and CNS related disorders.</w:t>
      </w:r>
    </w:p>
    <w:p>
      <w:pPr>
        <w:spacing w:after="0" w:line="72" w:lineRule="exact"/>
        <w:rPr>
          <w:sz w:val="20"/>
          <w:szCs w:val="20"/>
          <w:color w:val="auto"/>
        </w:rPr>
      </w:pPr>
    </w:p>
    <w:p>
      <w:pPr>
        <w:jc w:val="both"/>
        <w:ind w:right="140" w:firstLine="749"/>
        <w:spacing w:after="0" w:line="235" w:lineRule="auto"/>
        <w:rPr>
          <w:sz w:val="20"/>
          <w:szCs w:val="20"/>
          <w:color w:val="auto"/>
        </w:rPr>
      </w:pPr>
      <w:r>
        <w:rPr>
          <w:rFonts w:ascii="Arial" w:cs="Arial" w:eastAsia="Arial" w:hAnsi="Arial"/>
          <w:sz w:val="18"/>
          <w:szCs w:val="18"/>
          <w:color w:val="auto"/>
        </w:rPr>
        <w:t>Manufacturers and suppliers of our commercial products and product candidates are subject to the FDA’s current GMP (“cGMP”) requirements and other rules and regulations prescribed by foreign regulatory authorities. We depend on our third-party partners for continued compliance with cGMP requirements and applicable foreign standards.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94" w:lineRule="exact"/>
        <w:rPr>
          <w:sz w:val="20"/>
          <w:szCs w:val="20"/>
          <w:color w:val="auto"/>
        </w:rPr>
      </w:pPr>
    </w:p>
    <w:p>
      <w:pPr>
        <w:ind w:right="40" w:firstLine="749"/>
        <w:spacing w:after="0" w:line="261" w:lineRule="auto"/>
        <w:rPr>
          <w:sz w:val="20"/>
          <w:szCs w:val="20"/>
          <w:color w:val="auto"/>
        </w:rPr>
      </w:pPr>
      <w:r>
        <w:rPr>
          <w:rFonts w:ascii="Arial" w:cs="Arial" w:eastAsia="Arial" w:hAnsi="Arial"/>
          <w:sz w:val="16"/>
          <w:szCs w:val="16"/>
          <w:color w:val="auto"/>
        </w:rPr>
        <w:t>We believe that our RNA-targeted and gene therapy technologies could be broadly applicable for the potential development of pharmaceutical products in many therapeutic areas. To enhance and further exploit our core technologies, we have and may continue to enter into research, development or commercialization alliances with universities, hospitals, independent research centers, non-profit organizations, pharmaceutical and biotechnology companies and other entities for new technologies, including for specific molecular targets or selected disease indications. We may also selectively pursue opportunities to access certain intellectual property rights that complement our internal portfolio through license agreements or other arrangements.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Roche</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License, Collaboration, and Option Agreement</w:t>
      </w:r>
    </w:p>
    <w:p>
      <w:pPr>
        <w:spacing w:after="0" w:line="90" w:lineRule="exact"/>
        <w:rPr>
          <w:sz w:val="20"/>
          <w:szCs w:val="20"/>
          <w:color w:val="auto"/>
        </w:rPr>
      </w:pPr>
    </w:p>
    <w:p>
      <w:pPr>
        <w:ind w:right="100" w:firstLine="749"/>
        <w:spacing w:after="0" w:line="242" w:lineRule="auto"/>
        <w:rPr>
          <w:sz w:val="20"/>
          <w:szCs w:val="20"/>
          <w:color w:val="auto"/>
        </w:rPr>
      </w:pPr>
      <w:r>
        <w:rPr>
          <w:rFonts w:ascii="Arial" w:cs="Arial" w:eastAsia="Arial" w:hAnsi="Arial"/>
          <w:sz w:val="17"/>
          <w:szCs w:val="17"/>
          <w:color w:val="auto"/>
        </w:rPr>
        <w:t>On December 21, 2019, we entered into a License, Collaboration, and Option Agreement (the “Collaboration Agreement”) with F. Hoffman-La Roche Ltd (“Roche”) pursuant to which we granted Roche an exclusive license under certain of our intellectual property rights to develop, manufacture, and commercialize SRP-9001 in all countries outside of the U.S. We retained all rights to SRP-9001 in the U.S. The transaction closed on February 4, 2020. We have entered into Amendments 1 through 8 to the Collaboration Agreement on: October 23, 2020, October 28, 2020, February 4, 2021, June 23, 2021, August 31, 2021, November 30, 2021, January 5, 2022, and January 28, 2022,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11" w:name="page12"/>
    <w:bookmarkEnd w:id="11"/>
    <w:p>
      <w:pPr>
        <w:ind w:right="180" w:firstLine="749"/>
        <w:spacing w:after="0" w:line="228" w:lineRule="auto"/>
        <w:rPr>
          <w:sz w:val="20"/>
          <w:szCs w:val="20"/>
          <w:color w:val="auto"/>
        </w:rPr>
      </w:pPr>
      <w:r>
        <w:rPr>
          <w:rFonts w:ascii="Arial" w:cs="Arial" w:eastAsia="Arial" w:hAnsi="Arial"/>
          <w:sz w:val="18"/>
          <w:szCs w:val="18"/>
          <w:color w:val="auto"/>
        </w:rPr>
        <w:t>Also, under the terms of the Collaboration Agreement, Roche granted us a license to use certain of its intellectual property rights to perform development activities worldwide under a joint global development plan, commercialize SRP-9001 in the U.S., and perform certain manufacturing and medical affairs activities worldwide. Such license is non-exclusive under Roche’s background intellectual property rights, exclusive in the U.S. under intellectual property rights developed by Roche under the Collaboration Agreement, and non-exclusive outside the U.S. under intellectual property rights developed by Roche under the Collaboration Agreement.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manufacture and supply all clinical and, upon approval in the relevant market, commercial supply of SRP-9001.</w:t>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Roche Options and Negotiation Rights</w:t>
      </w:r>
    </w:p>
    <w:p>
      <w:pPr>
        <w:spacing w:after="0" w:line="90" w:lineRule="exact"/>
        <w:rPr>
          <w:sz w:val="20"/>
          <w:szCs w:val="20"/>
          <w:color w:val="auto"/>
        </w:rPr>
      </w:pPr>
    </w:p>
    <w:p>
      <w:pPr>
        <w:ind w:right="20" w:firstLine="749"/>
        <w:spacing w:after="0" w:line="239" w:lineRule="auto"/>
        <w:rPr>
          <w:sz w:val="20"/>
          <w:szCs w:val="20"/>
          <w:color w:val="auto"/>
        </w:rPr>
      </w:pPr>
      <w:r>
        <w:rPr>
          <w:rFonts w:ascii="Arial" w:cs="Arial" w:eastAsia="Arial" w:hAnsi="Arial"/>
          <w:sz w:val="17"/>
          <w:szCs w:val="17"/>
          <w:color w:val="auto"/>
        </w:rPr>
        <w:t>Pursuant to the Collaboration Agreement, we granted Roche an exclusive option to obtain an exclusive license to develop, manufacture and commercialize the following products outside of the U.S.: (i) certain exon-skipping products that target the dystrophin gene to induce exon skipping, including eteplirsen, golodirsen, casimersen and SRP-5051; (ii) certain gene therapy products other than SRP-9001 that encode and directly express dystrophin or a derivative thereof; and (iii) certain gene-editing products that modify, repair, or activate an endogenous dysfunctional dystrophin gene. The products subject to Roche’s options are collectively referred to as the “Option Products.” Upon option exercise, the Option Product that is the subject of the option exercise will be included under the Collaboration Agreement as a product licensed to Roche subject to similar obligations, including with respect to development, manufacturing, commercialization, and cost-sharing as those that apply to SRP-9001.</w:t>
      </w:r>
    </w:p>
    <w:p>
      <w:pPr>
        <w:spacing w:after="0" w:line="68" w:lineRule="exact"/>
        <w:rPr>
          <w:sz w:val="20"/>
          <w:szCs w:val="20"/>
          <w:color w:val="auto"/>
        </w:rPr>
      </w:pPr>
    </w:p>
    <w:p>
      <w:pPr>
        <w:ind w:right="200" w:firstLine="749"/>
        <w:spacing w:after="0" w:line="274" w:lineRule="auto"/>
        <w:rPr>
          <w:sz w:val="20"/>
          <w:szCs w:val="20"/>
          <w:color w:val="auto"/>
        </w:rPr>
      </w:pPr>
      <w:r>
        <w:rPr>
          <w:rFonts w:ascii="Arial" w:cs="Arial" w:eastAsia="Arial" w:hAnsi="Arial"/>
          <w:sz w:val="17"/>
          <w:szCs w:val="17"/>
          <w:color w:val="auto"/>
        </w:rPr>
        <w:t>Pursuant to the Collaboration Agreement, Roche has a right of first negotiation if we seek to grant a third-party license to commercialize SRP-9001 in the U.S. Roche had a similar right of first negotiation with respect to our LGMDs products, but such right has expired.</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Exclusivity</w:t>
      </w:r>
    </w:p>
    <w:p>
      <w:pPr>
        <w:spacing w:after="0" w:line="90" w:lineRule="exact"/>
        <w:rPr>
          <w:sz w:val="20"/>
          <w:szCs w:val="20"/>
          <w:color w:val="auto"/>
        </w:rPr>
      </w:pPr>
    </w:p>
    <w:p>
      <w:pPr>
        <w:ind w:right="20" w:firstLine="749"/>
        <w:spacing w:after="0" w:line="246" w:lineRule="auto"/>
        <w:rPr>
          <w:sz w:val="20"/>
          <w:szCs w:val="20"/>
          <w:color w:val="auto"/>
        </w:rPr>
      </w:pPr>
      <w:r>
        <w:rPr>
          <w:rFonts w:ascii="Arial" w:cs="Arial" w:eastAsia="Arial" w:hAnsi="Arial"/>
          <w:sz w:val="17"/>
          <w:szCs w:val="17"/>
          <w:color w:val="auto"/>
        </w:rPr>
        <w:t>Other than under the Collaboration Agreement, Roche may not perform any clinical trials for, or commercialize, any gene therapy product, gene-editing product, or antisense oligonucleotide for Duchenne for a period of five years following the execution of the Collaboration Agreement. The exclusivity period for one or more types of products may be extended if Roche exercises its option with respect to one or more exon-skipping products, gene therapy products, or gene-editing products, in each case, for a period of five years from the time of option exercise.</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Development</w:t>
      </w:r>
    </w:p>
    <w:p>
      <w:pPr>
        <w:spacing w:after="0" w:line="90" w:lineRule="exact"/>
        <w:rPr>
          <w:sz w:val="20"/>
          <w:szCs w:val="20"/>
          <w:color w:val="auto"/>
        </w:rPr>
      </w:pPr>
    </w:p>
    <w:p>
      <w:pPr>
        <w:ind w:right="80" w:firstLine="749"/>
        <w:spacing w:after="0" w:line="239" w:lineRule="auto"/>
        <w:rPr>
          <w:sz w:val="20"/>
          <w:szCs w:val="20"/>
          <w:color w:val="auto"/>
        </w:rPr>
      </w:pPr>
      <w:r>
        <w:rPr>
          <w:rFonts w:ascii="Arial" w:cs="Arial" w:eastAsia="Arial" w:hAnsi="Arial"/>
          <w:sz w:val="17"/>
          <w:szCs w:val="17"/>
          <w:color w:val="auto"/>
        </w:rPr>
        <w:t>The parties will use commercially reasonable efforts to conduct development activities with respect to SRP-9001 under the Collaboration Agreement pursuant to agreed-upon development plans. Subject to certain exceptions, we will perform all development activities directed to obtaining and maintaining regulatory approvals for SRP-9001 in the U.S. and the EU, as set forth in a joint global development plan. Subject to certain exceptions, the parties will share the costs of the development activities under such joint global development plan. Roche will have sole responsibility to perform all development activities set forth in a territory-specific development plan for SRP-9001, including additional activities not set forth in the joint global development plan that are specifically directed to obtaining and maintaining regulatory approvals for SRP-9001 outside of the U.S. Roche will be solely responsible for costs arising from the territory-specific development plan for SRP-9001.</w:t>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Governance</w:t>
      </w:r>
    </w:p>
    <w:p>
      <w:pPr>
        <w:spacing w:after="0" w:line="90"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Governing committees will facilitate collaboration between the parties with respect to development, manufacturing, medical affairs, intellectual property protection, and commercialization of SRP-9001 and any other licensed products.</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Financial Terms</w:t>
      </w:r>
    </w:p>
    <w:p>
      <w:pPr>
        <w:spacing w:after="0" w:line="90" w:lineRule="exact"/>
        <w:rPr>
          <w:sz w:val="20"/>
          <w:szCs w:val="20"/>
          <w:color w:val="auto"/>
        </w:rPr>
      </w:pPr>
    </w:p>
    <w:p>
      <w:pPr>
        <w:ind w:right="20" w:firstLine="749"/>
        <w:spacing w:after="0" w:line="228" w:lineRule="auto"/>
        <w:rPr>
          <w:sz w:val="20"/>
          <w:szCs w:val="20"/>
          <w:color w:val="auto"/>
        </w:rPr>
      </w:pPr>
      <w:r>
        <w:rPr>
          <w:rFonts w:ascii="Arial" w:cs="Arial" w:eastAsia="Arial" w:hAnsi="Arial"/>
          <w:sz w:val="18"/>
          <w:szCs w:val="18"/>
          <w:color w:val="auto"/>
        </w:rPr>
        <w:t>In consideration for the rights that we granted and for prepaid funding for development activities, in February 2020, Roche and Roche Finance Ltd, an affiliate of Roche (“Roche Finance”), together paid us an up-front payment of approximately $1.2 billion, comprised of $750.0 million in cash from Roche and approximately $400.0 million from Roche Finance in exchange for 2,522,227 shares of our common stock, priced at $158.59 per share under the Stock Purchase Agreement described below. Additionally, we are eligible to receive up to $1.7 billion in regulatory and sales milestone payments with respect to SRP-9001.</w:t>
      </w:r>
    </w:p>
    <w:p>
      <w:pPr>
        <w:spacing w:after="0" w:line="178"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In addition, the Collaboration Agreement provides that Roche will pay us royalties on net sales of SRP-9001, at a royalty rate anticipated to be in the mid-teens.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2" w:name="page13"/>
    <w:bookmarkEnd w:id="12"/>
    <w:p>
      <w:pPr>
        <w:jc w:val="both"/>
        <w:ind w:right="80" w:firstLine="749"/>
        <w:spacing w:after="0" w:line="235" w:lineRule="auto"/>
        <w:rPr>
          <w:sz w:val="20"/>
          <w:szCs w:val="20"/>
          <w:color w:val="auto"/>
        </w:rPr>
      </w:pPr>
      <w:r>
        <w:rPr>
          <w:rFonts w:ascii="Arial" w:cs="Arial" w:eastAsia="Arial" w:hAnsi="Arial"/>
          <w:sz w:val="18"/>
          <w:szCs w:val="18"/>
          <w:color w:val="auto"/>
        </w:rPr>
        <w:t>In the event that Roche chooses to exercise its option with respect to one or more Option Products, we will be paid an option exercise fee upon each such exercise and the Option Products that are the subject of the option exercise will be subject to separate milestone payments and royalties on sales of such Option Product.</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Term; Termination</w:t>
      </w:r>
    </w:p>
    <w:p>
      <w:pPr>
        <w:spacing w:after="0" w:line="104" w:lineRule="exact"/>
        <w:rPr>
          <w:sz w:val="20"/>
          <w:szCs w:val="20"/>
          <w:color w:val="auto"/>
        </w:rPr>
      </w:pPr>
    </w:p>
    <w:p>
      <w:pPr>
        <w:ind w:right="260" w:firstLine="749"/>
        <w:spacing w:after="0" w:line="243" w:lineRule="auto"/>
        <w:rPr>
          <w:sz w:val="20"/>
          <w:szCs w:val="20"/>
          <w:color w:val="auto"/>
        </w:rPr>
      </w:pPr>
      <w:r>
        <w:rPr>
          <w:rFonts w:ascii="Arial" w:cs="Arial" w:eastAsia="Arial" w:hAnsi="Arial"/>
          <w:sz w:val="18"/>
          <w:szCs w:val="18"/>
          <w:color w:val="auto"/>
        </w:rPr>
        <w:t>Unless earlier terminated as described below, the Collaboration Agreement will continue with respect to SRP-9001 or any Option Product for which Roche has exercised its option, on a product-by-product and country-by-country basis, until the end of the royalty term for such product in such country. The royalty term expires on the later of (a) twelve years after first commercial sale in such country, (b) loss of regulatory exclusivity in such country and (c) expiration of all valid claims of specific licensed patents in such country.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Either party may terminate the Collaboration Agreement for the other party’s material breach if such breach is not cured within a specified cure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96"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If Roche breaches its development or commercialization diligence obligations with respect to a licensed product or fails to develop or commercialize a particular licensed product in a particular region for a specified period of time, then we may terminate the Collaboration Agreement with respect to such licensed products in such regions.</w:t>
      </w:r>
    </w:p>
    <w:p>
      <w:pPr>
        <w:spacing w:after="0" w:line="182"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Roche may terminate the Collaboration Agreement if we fail to supply SRP-9001 to Roche in accordance with the terms of the Collaboration Agreement and the supply agreements to be entered into between the parties. Roche may also terminate the Collaboration Agreement for convenience with extended advance notice, in its entirety or on a licensed product-by-licensed product and region-by-region basis.</w:t>
      </w:r>
    </w:p>
    <w:p>
      <w:pPr>
        <w:spacing w:after="0" w:line="164"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The foregoing description of the terms of the Collaboration Agreement is not complete and is qualified in its entirety by reference to the text of the Collaboration Agreement, a copy of which is filed as an exhibit to this Annual Report.</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Stock Purchase Agreement</w:t>
      </w:r>
    </w:p>
    <w:p>
      <w:pPr>
        <w:spacing w:after="0" w:line="104" w:lineRule="exact"/>
        <w:rPr>
          <w:sz w:val="20"/>
          <w:szCs w:val="20"/>
          <w:color w:val="auto"/>
        </w:rPr>
      </w:pPr>
    </w:p>
    <w:p>
      <w:pPr>
        <w:ind w:right="60" w:firstLine="749"/>
        <w:spacing w:after="0" w:line="294" w:lineRule="auto"/>
        <w:rPr>
          <w:sz w:val="20"/>
          <w:szCs w:val="20"/>
          <w:color w:val="auto"/>
        </w:rPr>
      </w:pPr>
      <w:r>
        <w:rPr>
          <w:rFonts w:ascii="Arial" w:cs="Arial" w:eastAsia="Arial" w:hAnsi="Arial"/>
          <w:sz w:val="16"/>
          <w:szCs w:val="16"/>
          <w:color w:val="auto"/>
        </w:rPr>
        <w:t>On December 21, 2019, pursuant to the Collaboration Agreement, we entered into a Stock Purchase Agreement with Roche Finance (the “Stock Purchase Agreement”) pursuant to which, in February 2020, we issued and sold 2,522,227 shares (the “Shares”) of common stock to Roche Finance in a private placement for an aggregate purchase price of approximately $400.0 million, or $158.59 per share, with a fair value of $316.3 million.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Stock Purchase Agreement contains other customary terms and conditions, including mutual representations, warranties, and covenants.</w:t>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Myonexus</w:t>
      </w:r>
    </w:p>
    <w:p>
      <w:pPr>
        <w:spacing w:after="0" w:line="10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On May 3, 2018, we purchased from Myonexus, a privately-held Delaware corporation, a warrant to purchase common stock of Myonexus (the “Warrant”), which, in combination with amendments to the Myonexus certificate of incorporation, provided us with an exclusive option (the “Option”) to acquire Myonexus. In consideration for the Warrant, we made an up-front payment of $60.0 million to Myonexus. On February 27, 2019, we announced that we exercised the exclusive option to acquire Myonexus and, on April 4, 2019, we paid the Myonexus shareholders approximately $173.8 million and completed the acquisition of Myonexus. We are required to make contingent payments to the former shareholders of Myonexus upon achievement of a threshold amount of net sales of Myonexus products and the receipt and subsequent sale of a Priority Review Voucher (“PRV”) with respect to a Myonexus product.</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BioMarin</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License Agreement</w:t>
      </w:r>
    </w:p>
    <w:p>
      <w:pPr>
        <w:spacing w:after="0" w:line="212" w:lineRule="exact"/>
        <w:rPr>
          <w:sz w:val="20"/>
          <w:szCs w:val="20"/>
          <w:color w:val="auto"/>
        </w:rPr>
      </w:pPr>
    </w:p>
    <w:p>
      <w:pPr>
        <w:ind w:right="100" w:firstLine="749"/>
        <w:spacing w:after="0" w:line="276" w:lineRule="auto"/>
        <w:rPr>
          <w:sz w:val="20"/>
          <w:szCs w:val="20"/>
          <w:color w:val="auto"/>
        </w:rPr>
      </w:pPr>
      <w:r>
        <w:rPr>
          <w:rFonts w:ascii="Arial" w:cs="Arial" w:eastAsia="Arial" w:hAnsi="Arial"/>
          <w:sz w:val="16"/>
          <w:szCs w:val="16"/>
          <w:color w:val="auto"/>
        </w:rPr>
        <w:t>On July 17, 2017, we executed a License Agreement (as amended on April 14, 2019 and November 17, 2021, the “License Agreement”) with BioMarin Leiden Holding BV, BioMarin Nederlands BV and BioMarin Technologies BV (collectively, “BioMarin”), pursuant to which BioMarin granted us a royalty-bearing, worldwide license under patent rights (“Licensed Patents”) and know-how (“Licensed Know-How”) controlled by BioMarin with respect to BioMarin’s Duchenne program, which are potentially necessary or useful for the treatment of Duchenne, to practice and exploit the Licensed Patents and Licensed Know-How in all fields of use and for all purposes, including to develop and commercialize antisense oligonucleotide products that target one or more exons of the dystrophin gene to induce exon skipping, including eteplirsen, golodirsen and casimersen (collectively, the “Products”).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13" w:name="page14"/>
    <w:bookmarkEnd w:id="13"/>
    <w:p>
      <w:pPr>
        <w:ind w:right="500" w:firstLine="749"/>
        <w:spacing w:after="0" w:line="270" w:lineRule="auto"/>
        <w:rPr>
          <w:sz w:val="20"/>
          <w:szCs w:val="20"/>
          <w:color w:val="auto"/>
        </w:rPr>
      </w:pPr>
      <w:r>
        <w:rPr>
          <w:rFonts w:ascii="Arial" w:cs="Arial" w:eastAsia="Arial" w:hAnsi="Arial"/>
          <w:sz w:val="17"/>
          <w:szCs w:val="17"/>
          <w:color w:val="auto"/>
        </w:rPr>
        <w:t>The license granted to Sarepta by BioMarin is co-exclusive with BioMarin, with respect to the Licensed Patents, and is non-exclusive with respect to Licensed Know-How. Pursuant to the amendment to the License Agreement dated November 17, 2021 (“2021 Amendment”), BioMarin exercised its right to convert the exclusive license under the Licensed Patents to the current co-exclusive license.</w:t>
      </w:r>
    </w:p>
    <w:p>
      <w:pPr>
        <w:spacing w:after="0" w:line="164"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Under the terms of the License Agreement, we were required to pay BioMarin an up-front payment of $15.0 million. Pursuant to the 2021 Amendment, BioMarin is eligible to receive up to $20.0 million from us per dystrophin gene exon (other than exon 51) targeted by one or more Products in specified regulatory milestones, as well as an additional $10.0 million milestone, payable following the regulatory approval of eteplirsen by the EMA. BioMarin is also eligible to receive through June 30, 2022 royalties segmented by specified geographic markets, in some jurisdictions dependent on the existence of a patent, ranging from 4% to 8% of net sales on a product-by-product and country-by-country basis. Beginning July 1, 2022, pursuant to the 2021 Amendment, BioMarin is eligible to receive royalties of 4% in the U.S. and 5% outside the U.S. of net sales of Products covered by a Licensed Patent on a product-by-product and country-by-country basis.</w:t>
      </w:r>
    </w:p>
    <w:p>
      <w:pPr>
        <w:spacing w:after="0" w:line="191" w:lineRule="exact"/>
        <w:rPr>
          <w:sz w:val="20"/>
          <w:szCs w:val="20"/>
          <w:color w:val="auto"/>
        </w:rPr>
      </w:pPr>
    </w:p>
    <w:p>
      <w:pPr>
        <w:ind w:right="80" w:firstLine="749"/>
        <w:spacing w:after="0" w:line="276" w:lineRule="auto"/>
        <w:rPr>
          <w:sz w:val="20"/>
          <w:szCs w:val="20"/>
          <w:color w:val="auto"/>
        </w:rPr>
      </w:pPr>
      <w:r>
        <w:rPr>
          <w:rFonts w:ascii="Arial" w:cs="Arial" w:eastAsia="Arial" w:hAnsi="Arial"/>
          <w:sz w:val="16"/>
          <w:szCs w:val="16"/>
          <w:color w:val="auto"/>
        </w:rPr>
        <w:t>Milestones and royalties are payable with respect to eteplirsen (an exon 51 skipping Product), golodirsen (an exon 53 skipping Product), casimersen (an exon 45 skipping Product) through June 30, 2022. Beginning July 1, 2022, pursuant to the 2021 Amendment, milestones and royalties are payable only with respect to Products covered by a Licensed Patent. Beginning July 1, 2022, pursuant to the 2021 Amendment, the royalty term applicable to Products covered by a Licensed Patent will expire upon March 31, 2024 in the U.S. and December 31, 2024 outside the U.S. The royalties for all Products covered by a Licensed Patent are subject to reductions, including for generic competition and, under specified conditions, for a specified portion of payments that we may become required to pay under third-party license agreements, subject to a maximum royalty reduction.</w:t>
      </w:r>
    </w:p>
    <w:p>
      <w:pPr>
        <w:spacing w:after="0" w:line="162" w:lineRule="exact"/>
        <w:rPr>
          <w:sz w:val="20"/>
          <w:szCs w:val="20"/>
          <w:color w:val="auto"/>
        </w:rPr>
      </w:pPr>
    </w:p>
    <w:p>
      <w:pPr>
        <w:ind w:right="240" w:firstLine="749"/>
        <w:spacing w:after="0" w:line="248" w:lineRule="auto"/>
        <w:rPr>
          <w:sz w:val="20"/>
          <w:szCs w:val="20"/>
          <w:color w:val="auto"/>
        </w:rPr>
      </w:pPr>
      <w:r>
        <w:rPr>
          <w:rFonts w:ascii="Arial" w:cs="Arial" w:eastAsia="Arial" w:hAnsi="Arial"/>
          <w:sz w:val="18"/>
          <w:szCs w:val="18"/>
          <w:color w:val="auto"/>
        </w:rPr>
        <w:t>Unless earlier terminated, the License Agreement will expire upon the expiration of the last-to-expire royalty term. Either party may terminate the License Agreement in the event of the other party’s uncured material breach. BioMarin may also terminate the License Agreement on a Licensed Patent-by-Licensed Patent basis under specified circumstances relating to patent challenges by us.</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Settlement Agreement</w:t>
      </w:r>
    </w:p>
    <w:p>
      <w:pPr>
        <w:spacing w:after="0" w:line="90" w:lineRule="exact"/>
        <w:rPr>
          <w:sz w:val="20"/>
          <w:szCs w:val="20"/>
          <w:color w:val="auto"/>
        </w:rPr>
      </w:pPr>
    </w:p>
    <w:p>
      <w:pPr>
        <w:ind w:firstLine="749"/>
        <w:spacing w:after="0" w:line="237" w:lineRule="auto"/>
        <w:rPr>
          <w:sz w:val="20"/>
          <w:szCs w:val="20"/>
          <w:color w:val="auto"/>
        </w:rPr>
      </w:pPr>
      <w:r>
        <w:rPr>
          <w:rFonts w:ascii="Arial" w:cs="Arial" w:eastAsia="Arial" w:hAnsi="Arial"/>
          <w:sz w:val="17"/>
          <w:szCs w:val="17"/>
          <w:color w:val="auto"/>
        </w:rPr>
        <w:t>On July 17, 2017, Sarepta and The University of Western Australia (“UWA”) on the one hand, and the BioMarin Parties and Academisch Ziekenhuis Leiden (“AZL”) on the other hand (collectively, the “Settlement Parties”), executed a Settlement Agreement pursuant to which all legal actions in the U.S. and certain legal actions in Europe (the “Actions”) would be stopped or withdrawn as between the Settlement Parties. Specifically, the terms of the Settlement Agreement required that existing efforts pursuing ongoing litigation and opposition proceedings would be stopped as between the Settlement Parties, and the Settlement Parties would cooperate to withdraw the Actions before the European Patent Office (except for actions involving third parties), the U.S. Patent and Trademark Office (“USPTO”), the U.S. Court of Appeals for the Federal Circuit and the High Court of Justice of England and Wales, except for the cross-appeal of the Interlocutory Decision of the Opposition Division dated April 15, 2013 of the European Patent Office of EP 1619249B1 (“EP ‘249 Appeal”) in which Sarepta agreed to withdraw its appeal and BioMarin/AZL agreed to continue with its appeal with Sarepta having oversight of the continued appeal by BioMarin/AZL.</w:t>
      </w:r>
    </w:p>
    <w:p>
      <w:pPr>
        <w:spacing w:after="0" w:line="180" w:lineRule="exact"/>
        <w:rPr>
          <w:sz w:val="20"/>
          <w:szCs w:val="20"/>
          <w:color w:val="auto"/>
        </w:rPr>
      </w:pPr>
    </w:p>
    <w:p>
      <w:pPr>
        <w:ind w:right="340" w:firstLine="749"/>
        <w:spacing w:after="0" w:line="266" w:lineRule="auto"/>
        <w:rPr>
          <w:sz w:val="20"/>
          <w:szCs w:val="20"/>
          <w:color w:val="auto"/>
        </w:rPr>
      </w:pPr>
      <w:r>
        <w:rPr>
          <w:rFonts w:ascii="Arial" w:cs="Arial" w:eastAsia="Arial" w:hAnsi="Arial"/>
          <w:sz w:val="16"/>
          <w:szCs w:val="16"/>
          <w:color w:val="auto"/>
        </w:rPr>
        <w:t>Additionally, under the terms of the Settlement Agreement, the Settlement Parties agreed to release each other and the customers, end-users, agents, suppliers, distributors, resellers, contractors, consultants, services and partners of Sarepta or BioMarin (as applicable) from claims and damages related to (i) the patent rights controlled by the releasing party that are involved in the Actions, (ii) with respect to Sarepta and UWA, its patent rights related to the patent rights involved in the Actions, and (iii) with respect to BioMarin and AZL, all of the Licensed Patents and Licensed Know-How.</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terms of the Settlement Agreement, Sarepta made an up-front payment of $20.0 million to BioMarin.</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University of Western Australia</w:t>
      </w:r>
    </w:p>
    <w:p>
      <w:pPr>
        <w:spacing w:after="0" w:line="104"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In April 2013, we entered into an agreement with UWA under which an existing exclusive license agreement between the two parties was amended and restated and, in June 2016, we entered into the first amendment to the license agreement (the “UWA License Agreement”). The UWA License Agreement grants us specific rights to compounds for the treatment of Duchenne by inducing exon skipping. EXONDYS 51, VYONDYS 53 and AMONDYS 45 fall under the scope of the license agreement. Under the UWA License Agreement, we are required to make payments of up to $6.0 million in the aggregate to UWA based on the successful achievement of certain development and regulatory milestones relating to EXONDYS 51, VYONDYS 53, AMONDYS 45 and up to three additional product candidates. As of December 31, 2021, $4.2 million of the $6.0 million development and regulatory milestone payments had been made. We are also obligated to make payments to UWA of up to $20.0 million upon the achievement of certain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spacing w:after="0" w:line="261" w:lineRule="auto"/>
        <w:rPr>
          <w:sz w:val="20"/>
          <w:szCs w:val="20"/>
          <w:color w:val="auto"/>
        </w:rPr>
      </w:pPr>
      <w:r>
        <w:rPr>
          <w:rFonts w:ascii="Arial" w:cs="Arial" w:eastAsia="Arial" w:hAnsi="Arial"/>
          <w:sz w:val="18"/>
          <w:szCs w:val="18"/>
          <w:color w:val="auto"/>
        </w:rPr>
        <w:t>sales milestones. Additionally, we are required to pay a low-single-digit percentage royalty on net sales of products covered by issued patents licensed from UWA during the term of the UWA License Agreement.</w:t>
      </w:r>
    </w:p>
    <w:p>
      <w:pPr>
        <w:spacing w:after="0" w:line="198"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Currently, the latest date on which an issued patent covered by the UWA License Agreement expires is November 2030 (excluding any patent term extension, supplemental protection certificate or pediatric extensions that may be available); however, patents granted from pending patent applications could result in a later expiration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Strategic Alliances</w:t>
      </w:r>
    </w:p>
    <w:p>
      <w:pPr>
        <w:spacing w:after="0" w:line="94" w:lineRule="exact"/>
        <w:rPr>
          <w:sz w:val="20"/>
          <w:szCs w:val="20"/>
          <w:color w:val="auto"/>
        </w:rPr>
      </w:pPr>
    </w:p>
    <w:p>
      <w:pPr>
        <w:ind w:right="300" w:firstLine="749"/>
        <w:spacing w:after="0" w:line="235" w:lineRule="auto"/>
        <w:rPr>
          <w:sz w:val="20"/>
          <w:szCs w:val="20"/>
          <w:color w:val="auto"/>
        </w:rPr>
      </w:pPr>
      <w:r>
        <w:rPr>
          <w:rFonts w:ascii="Arial" w:cs="Arial" w:eastAsia="Arial" w:hAnsi="Arial"/>
          <w:sz w:val="18"/>
          <w:szCs w:val="18"/>
          <w:color w:val="auto"/>
        </w:rPr>
        <w:t>In connection with our multi-front battle against Duchenne and other rare neuromuscular diseases, we have entered into multiple partnering opportunities, including the ones described below. We believe that these collaborations, taken along with our own programs, represent a comprehensive approach to treating these rare neuromuscular diseases.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Nationwide Children’s Hospital</w:t>
      </w:r>
    </w:p>
    <w:p>
      <w:pPr>
        <w:spacing w:after="0" w:line="90" w:lineRule="exact"/>
        <w:rPr>
          <w:sz w:val="20"/>
          <w:szCs w:val="20"/>
          <w:color w:val="auto"/>
        </w:rPr>
      </w:pPr>
    </w:p>
    <w:p>
      <w:pPr>
        <w:ind w:right="340" w:firstLine="749"/>
        <w:spacing w:after="0" w:line="246" w:lineRule="auto"/>
        <w:rPr>
          <w:sz w:val="20"/>
          <w:szCs w:val="20"/>
          <w:color w:val="auto"/>
        </w:rPr>
      </w:pPr>
      <w:r>
        <w:rPr>
          <w:rFonts w:ascii="Arial" w:cs="Arial" w:eastAsia="Arial" w:hAnsi="Arial"/>
          <w:sz w:val="18"/>
          <w:szCs w:val="18"/>
          <w:color w:val="auto"/>
        </w:rPr>
        <w:t>In December 2015, we entered into an exclusive license agreement with Nationwide to acquire exclusive rights to its GALGT2 gene therapy program for neuromuscular related disorders.</w:t>
      </w:r>
    </w:p>
    <w:p>
      <w:pPr>
        <w:spacing w:after="0" w:line="170" w:lineRule="exact"/>
        <w:rPr>
          <w:sz w:val="20"/>
          <w:szCs w:val="20"/>
          <w:color w:val="auto"/>
        </w:rPr>
      </w:pPr>
    </w:p>
    <w:p>
      <w:pPr>
        <w:ind w:right="180" w:firstLine="749"/>
        <w:spacing w:after="0" w:line="228" w:lineRule="auto"/>
        <w:rPr>
          <w:sz w:val="20"/>
          <w:szCs w:val="20"/>
          <w:color w:val="auto"/>
        </w:rPr>
      </w:pPr>
      <w:r>
        <w:rPr>
          <w:rFonts w:ascii="Arial" w:cs="Arial" w:eastAsia="Arial" w:hAnsi="Arial"/>
          <w:sz w:val="18"/>
          <w:szCs w:val="18"/>
          <w:color w:val="auto"/>
        </w:rPr>
        <w:t>In addition, in December 2016, we entered into an exclusive option agreement with Nationwide to acquire exclusive rights to their micro-dystrophin gene therapy program as well as a sponsored research agreement to conduct pre-IND research and conduct the first clinical trial with the lead micro-dystrophin gene therapy. In October 2018, we exercised our exclusive license option and an option under the sponsored research agreement and entered into an exclusive license agreement with Nationwide to acquire exclusive rights to its micro-dystrophin gene therapy program, which provides us with exclusive rights to commercialize SRP-9001.</w:t>
      </w:r>
    </w:p>
    <w:p>
      <w:pPr>
        <w:spacing w:after="0" w:line="178" w:lineRule="exact"/>
        <w:rPr>
          <w:sz w:val="20"/>
          <w:szCs w:val="20"/>
          <w:color w:val="auto"/>
        </w:rPr>
      </w:pPr>
    </w:p>
    <w:p>
      <w:pPr>
        <w:ind w:right="140" w:firstLine="749"/>
        <w:spacing w:after="0" w:line="235" w:lineRule="auto"/>
        <w:rPr>
          <w:sz w:val="20"/>
          <w:szCs w:val="20"/>
          <w:color w:val="auto"/>
        </w:rPr>
      </w:pPr>
      <w:r>
        <w:rPr>
          <w:rFonts w:ascii="Arial" w:cs="Arial" w:eastAsia="Arial" w:hAnsi="Arial"/>
          <w:sz w:val="18"/>
          <w:szCs w:val="18"/>
          <w:color w:val="auto"/>
        </w:rPr>
        <w:t>Furthermore, in October 2018, we entered into an exclusive option agreement with Nationwide with respect to exclusive rights to its NT-3 gene therapy program for the treatment of certain CMT neuropathy subtypes, including CMT Type 1A. The option agreement contains pre-determined economic terms for the exclusive license to be entered into upon us exercising our option.</w:t>
      </w:r>
    </w:p>
    <w:p>
      <w:pPr>
        <w:spacing w:after="0" w:line="175"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In addition, in March 2019, we entered into an exclusive option agreement with Nationwide with respect to exclusive rights to its calpain-3 gene therapy program for the treatment of LGMD Type 2A. In July 2021, we exercised our option and entered into an exclusive license agreement with Nationwide to acquire exclusive rights to its calpain-3 gene therapy program for the treatment of LGMD Type 2A.</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Duke University</w:t>
      </w:r>
    </w:p>
    <w:p>
      <w:pPr>
        <w:spacing w:after="0" w:line="90" w:lineRule="exact"/>
        <w:rPr>
          <w:sz w:val="20"/>
          <w:szCs w:val="20"/>
          <w:color w:val="auto"/>
        </w:rPr>
      </w:pPr>
    </w:p>
    <w:p>
      <w:pPr>
        <w:ind w:right="100" w:firstLine="749"/>
        <w:spacing w:after="0" w:line="266" w:lineRule="auto"/>
        <w:rPr>
          <w:sz w:val="20"/>
          <w:szCs w:val="20"/>
          <w:color w:val="auto"/>
        </w:rPr>
      </w:pPr>
      <w:r>
        <w:rPr>
          <w:rFonts w:ascii="Arial" w:cs="Arial" w:eastAsia="Arial" w:hAnsi="Arial"/>
          <w:sz w:val="16"/>
          <w:szCs w:val="16"/>
          <w:color w:val="auto"/>
        </w:rPr>
        <w:t>In October 2017, we entered into a sponsored research and exclusive option agreement with Duke University, granting us an exclusive option to an exclusive license to intellectual property and technology related to certain CRISPR/Cas9 technology developed in the laboratory of Charles A. Gersbach, Ph.D. The underlying premise of Dr. Gersbach’s approach is to restore dystrophin expression by removing or “excising” exons from the dystrophin gene. This includes a strategy to excise exons potentially enabling treatment for a majority of the Duchenne patient population.</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Genethon</w:t>
      </w:r>
    </w:p>
    <w:p>
      <w:pPr>
        <w:spacing w:after="0" w:line="104" w:lineRule="exact"/>
        <w:rPr>
          <w:sz w:val="20"/>
          <w:szCs w:val="20"/>
          <w:color w:val="auto"/>
        </w:rPr>
      </w:pPr>
    </w:p>
    <w:p>
      <w:pPr>
        <w:jc w:val="both"/>
        <w:ind w:right="100" w:firstLine="749"/>
        <w:spacing w:after="0" w:line="239" w:lineRule="auto"/>
        <w:rPr>
          <w:sz w:val="20"/>
          <w:szCs w:val="20"/>
          <w:color w:val="auto"/>
        </w:rPr>
      </w:pPr>
      <w:r>
        <w:rPr>
          <w:rFonts w:ascii="Arial" w:cs="Arial" w:eastAsia="Arial" w:hAnsi="Arial"/>
          <w:sz w:val="18"/>
          <w:szCs w:val="18"/>
          <w:color w:val="auto"/>
        </w:rPr>
        <w:t>In May 2017, we entered into a sponsored research agreement with Genethon, under which we have been collaborating with Genethon on the pre-clinical development of its micro-dystrophin gene therapy products for the treatment of Duchenne. In November 2019, we entered into a license and collaboration agreement with Genethon, under which we will collaborate and share costs with Genethon on the clinical development of such products for the treatment of Duchenne. Under such agreement, we received the exclusive right to commercialize such products in the majority of the world (primarily excluding the EU). For the rights we received under such agreement, we made an up-front payment of $28.0 million; may be required to pay up to $236.3 million in development, regulatory and sales milestones; and upon commercialization, will be required to make tiered royalty payments based on net sales of licensed products.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StrideBio</w:t>
      </w:r>
    </w:p>
    <w:p>
      <w:pPr>
        <w:spacing w:after="0" w:line="104"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On November 13, 2019, we entered into a collaboration and license agreement with StrideBio, Inc. (“StrideBio”), a leading developer of novel AAV capsids, to develop in vivo AAV-based therapies for up to eight CNS and neuromuscular targets. Pursuant to the agreement, we were granted an exclusive license on selected targets to leverage StrideBio’s capsid technology intended to enhance specific tropism to tissues of interest and evade neutralizing antibodies. StrideBio will conduct all IND enabling research, development and manufacturing for the first four CNS targets, which are MECP2 (Rett syndrome), SCN1A (Dravet syndrome), UBE3A (Angelman syndrome), and NPC1 (Niemann-Pick).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ind w:right="200" w:firstLine="749"/>
        <w:spacing w:after="0" w:line="274" w:lineRule="auto"/>
        <w:rPr>
          <w:sz w:val="20"/>
          <w:szCs w:val="20"/>
          <w:color w:val="auto"/>
        </w:rPr>
      </w:pPr>
      <w:r>
        <w:rPr>
          <w:rFonts w:ascii="Arial" w:cs="Arial" w:eastAsia="Arial" w:hAnsi="Arial"/>
          <w:sz w:val="16"/>
          <w:szCs w:val="16"/>
          <w:color w:val="auto"/>
        </w:rPr>
        <w:t>Under the terms of the agreement, StrideBio will be responsible for AAV capsid development, non-clinical development and manufacturing of preclinical candidates to be selected for advancement into clinical studies. The parties will also share early clinical development activities for certain selected targets, with Sarepta responsible for late stage development and commercialization of all targets. StrideBio received up-front consideration of $46.9 million, of which $29.4 million was in the form of Sarepta common stock and the balance in cash. In addition, StrideBio will receive significant future development, regulatory and commercial milestones upon the achievement of specified milestone events for each of the four programs. StrideBio will also receive royalties on worldwide net sales of any commercial products developed through the collaboration. In addition, in March 2021, in accordance with the commitment made under the agreement, Sarepta invested in StrideBio’s Series B financing round.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08"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Our success depends in part upon our ability to obtain and maintain exclusivity for our products, product candidates and platform technologies. We typically rely on a combination of patent protection and regulatory exclusivity to maintain exclusivity for our products and product candidates, whereas exclusivity for our platform technologies is generally based on patent protection and trade secret protection. In addition to patent protection, regulatory exclusivity, and trade secret protection, we also protect our products, product candidates and platform technologies with copyrights, trademarks, and contractual protections.</w:t>
      </w:r>
    </w:p>
    <w:p>
      <w:pPr>
        <w:spacing w:after="0" w:line="189"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We actively seek patent protection for our product candidates and certain of our proprietary technologies by filing patent applications in the U.S. and other countries as appropriate. These patent applications are directed to various inventions, including, but not limited to, active ingredients, pharmaceutical formulations, methods of use, and manufacturing methods. In addition, we actively acquire exclusive rights to third party patents and patent applications to protect our in-licensed product candidates and corresponding platform technologies.</w:t>
      </w:r>
    </w:p>
    <w:p>
      <w:pPr>
        <w:spacing w:after="0" w:line="172" w:lineRule="exact"/>
        <w:rPr>
          <w:sz w:val="20"/>
          <w:szCs w:val="20"/>
          <w:color w:val="auto"/>
        </w:rPr>
      </w:pPr>
    </w:p>
    <w:p>
      <w:pPr>
        <w:ind w:right="140" w:firstLine="749"/>
        <w:spacing w:after="0" w:line="324" w:lineRule="auto"/>
        <w:rPr>
          <w:sz w:val="20"/>
          <w:szCs w:val="20"/>
          <w:color w:val="auto"/>
        </w:rPr>
      </w:pPr>
      <w:r>
        <w:rPr>
          <w:rFonts w:ascii="Arial" w:cs="Arial" w:eastAsia="Arial" w:hAnsi="Arial"/>
          <w:sz w:val="16"/>
          <w:szCs w:val="16"/>
          <w:color w:val="auto"/>
        </w:rPr>
        <w:t>We do not have patents or patent applications in every jurisdiction where there is a potential commercial market for our product candidates. For each of our programs, our decision to seek patent protection in specific foreign markets, in addition to the U.S., is based on many factors, including:</w:t>
      </w:r>
    </w:p>
    <w:p>
      <w:pPr>
        <w:spacing w:after="0" w:line="16" w:lineRule="exact"/>
        <w:rPr>
          <w:sz w:val="20"/>
          <w:szCs w:val="20"/>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available resources;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types of patents already filed or pending;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likelihood of success of the product candidate;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commercial market;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presence of a potential competitor in the market;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legal authorities in the market effectively enforce patent rights.</w:t>
      </w:r>
    </w:p>
    <w:p>
      <w:pPr>
        <w:spacing w:after="0" w:line="212"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We continually evaluate our patent portfolio and patent strategy and believe our owned and licensed patents and patent applications provide us with a competitive advantage; however, if markets where we do not have patents or patent applications become commercially important, our business may be adversely affected. A discussion of certain risks and uncertainties that may affect our freedom to operate, patent position, regulatory exclusivities and other proprietary rights is set forth in Item 1A. Risk Factors included in this report, and a discussion of legal proceedings related to the key patents protecting our products and product candidates are set forth below in the footnotes to the tables in this section.</w:t>
      </w:r>
    </w:p>
    <w:p>
      <w:pPr>
        <w:spacing w:after="0" w:line="17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Certain of our product candidates are in therapeutic areas that have been the subject of many years of extensive research and development by academic organizations and third parties who may control patents or other intellectual property that they might assert against us, should one or more of our product candidates in these therapeutic areas succeed in obtaining regulatory approval and thereafter be commercialized. We continually evaluate the intellectual property rights of others in these areas in order to determine whether a claim of infringement may be made by others against us. Should we determine that a third party has intellectual property rights that could impact our ability to freely market a compound, we consider a number of factors in determining how best to prepare for the commercialization of any such product candidate. In making this determination we consider, among other things, the stage of development of our product candidate, the anticipated date of first regulatory approval, whether we believe the intellectual property rights of others are valid, whether we believe we infringe the intellectual property rights of others, whether a license is available upon commercially reasonable terms, whether we will seek to challenge the intellectual property rights of others, the term of the rights, and the likelihood of and liability resulting from an adverse outcome should we be found to infringe the intellectual property rights of others.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right="140" w:firstLine="749"/>
        <w:spacing w:after="0" w:line="238" w:lineRule="auto"/>
        <w:rPr>
          <w:sz w:val="20"/>
          <w:szCs w:val="20"/>
          <w:color w:val="auto"/>
        </w:rPr>
      </w:pPr>
      <w:r>
        <w:rPr>
          <w:rFonts w:ascii="Arial" w:cs="Arial" w:eastAsia="Arial" w:hAnsi="Arial"/>
          <w:sz w:val="18"/>
          <w:szCs w:val="18"/>
          <w:color w:val="auto"/>
        </w:rPr>
        <w:t>Currently, U.S. patents, as well as most foreign patents, are generally effective for 20 years from the date the earliest regular application was filed. In some countries, the patent term may be extended to recapture a portion of the term lost during regulatory review of the claimed therapeutic. For example, in the U.S., under the Drug Price Competition and Patent Term Restoration Act of 1984, commonly known as the Hatch-Waxman Act, a patent that covers an FDA-approved drug may be eligible for patent term extension (for up to 5 years, but not beyond a total of 14 years from the date of product approval) as compensation for patent term lost during the FDA regulatory review process. In the U.S., only one patent may be extended for any product based on FDA delay. In addition to patent term extension, patents in the U.S. may be granted additional term due to delays at the USPTO during prosecution of a patent application. We actively strive to maximize the potential for patent protection for our products and product candidates in accordance with the law.</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Patents &amp; Regulatory Exclusivities</w:t>
      </w:r>
    </w:p>
    <w:p>
      <w:pPr>
        <w:spacing w:after="0" w:line="21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Our products, product candidates and our technologies are primarily protected by composition of matter and methods of use patents and patent applications. A summary of granted composition of matter and/or methods of use patents that we solely own or control (or in the case of BioMarin/AZL patents, control with BioMarin), which cover our products in the U.S. and Europe, is provided below. To the extent the product indicated above the tables that immediately follow the name of such product is covered by a patent that is licensed to Sarepta, we may owe milestones and/or royalties to the indicated licensor in connection with the development and/or commercial sale of the product.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Eteplirsen</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300" w:type="dxa"/>
            <w:vAlign w:val="bottom"/>
            <w:tcBorders>
              <w:top w:val="single" w:sz="8" w:color="auto"/>
              <w:left w:val="single" w:sz="8" w:color="auto"/>
              <w:right w:val="single" w:sz="8" w:color="auto"/>
            </w:tcBorders>
            <w:shd w:val="clear" w:color="auto" w:fill="D9D9D9"/>
          </w:tcPr>
          <w:p>
            <w:pPr>
              <w:ind w:left="120"/>
              <w:spacing w:after="0" w:line="156" w:lineRule="exact"/>
              <w:rPr>
                <w:sz w:val="20"/>
                <w:szCs w:val="20"/>
                <w:color w:val="auto"/>
              </w:rPr>
            </w:pPr>
            <w:r>
              <w:rPr>
                <w:rFonts w:ascii="Arial" w:cs="Arial" w:eastAsia="Arial" w:hAnsi="Arial"/>
                <w:sz w:val="14"/>
                <w:szCs w:val="14"/>
                <w:b w:val="1"/>
                <w:bCs w:val="1"/>
                <w:color w:val="auto"/>
              </w:rPr>
              <w:t>Patent Number</w:t>
            </w:r>
          </w:p>
        </w:tc>
        <w:tc>
          <w:tcPr>
            <w:tcW w:w="2240" w:type="dxa"/>
            <w:vAlign w:val="bottom"/>
            <w:tcBorders>
              <w:top w:val="single" w:sz="8" w:color="auto"/>
              <w:right w:val="single" w:sz="8" w:color="auto"/>
            </w:tcBorders>
            <w:shd w:val="clear" w:color="auto" w:fill="D9D9D9"/>
          </w:tcPr>
          <w:p>
            <w:pPr>
              <w:ind w:left="80"/>
              <w:spacing w:after="0" w:line="156" w:lineRule="exact"/>
              <w:rPr>
                <w:sz w:val="20"/>
                <w:szCs w:val="20"/>
                <w:color w:val="auto"/>
              </w:rPr>
            </w:pPr>
            <w:r>
              <w:rPr>
                <w:rFonts w:ascii="Arial" w:cs="Arial" w:eastAsia="Arial" w:hAnsi="Arial"/>
                <w:sz w:val="14"/>
                <w:szCs w:val="14"/>
                <w:b w:val="1"/>
                <w:bCs w:val="1"/>
                <w:color w:val="auto"/>
              </w:rPr>
              <w:t>Country/Region*</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Patent Type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Expiration Date**</w:t>
            </w:r>
          </w:p>
        </w:tc>
        <w:tc>
          <w:tcPr>
            <w:tcW w:w="222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Owner/Licensor</w:t>
            </w:r>
          </w:p>
        </w:tc>
      </w:tr>
      <w:tr>
        <w:trPr>
          <w:trHeight w:val="188"/>
        </w:trPr>
        <w:tc>
          <w:tcPr>
            <w:tcW w:w="230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(if not Sarepta)</w:t>
            </w:r>
          </w:p>
        </w:tc>
      </w:tr>
      <w:tr>
        <w:trPr>
          <w:trHeight w:val="179"/>
        </w:trPr>
        <w:tc>
          <w:tcPr>
            <w:tcW w:w="23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5"/>
                <w:szCs w:val="15"/>
                <w:color w:val="auto"/>
              </w:rPr>
              <w:t>U.S. RE47,751</w:t>
            </w:r>
            <w:r>
              <w:rPr>
                <w:rFonts w:ascii="Arial" w:cs="Arial" w:eastAsia="Arial" w:hAnsi="Arial"/>
                <w:sz w:val="20"/>
                <w:szCs w:val="20"/>
                <w:color w:val="auto"/>
                <w:vertAlign w:val="superscript"/>
              </w:rPr>
              <w:t>1</w:t>
            </w:r>
          </w:p>
        </w:tc>
        <w:tc>
          <w:tcPr>
            <w:tcW w:w="224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June 28, 2025</w:t>
            </w:r>
          </w:p>
        </w:tc>
        <w:tc>
          <w:tcPr>
            <w:tcW w:w="222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UWA</w:t>
            </w:r>
          </w:p>
        </w:tc>
      </w:tr>
      <w:tr>
        <w:trPr>
          <w:trHeight w:val="196"/>
        </w:trPr>
        <w:tc>
          <w:tcPr>
            <w:tcW w:w="23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9,018,368</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3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10,781,451</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30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7"/>
                <w:szCs w:val="17"/>
                <w:color w:val="auto"/>
              </w:rPr>
              <w:t>U.S. 9,243,245</w:t>
            </w:r>
            <w:r>
              <w:rPr>
                <w:rFonts w:ascii="Arial" w:cs="Arial" w:eastAsia="Arial" w:hAnsi="Arial"/>
                <w:sz w:val="22"/>
                <w:szCs w:val="22"/>
                <w:color w:val="auto"/>
                <w:vertAlign w:val="superscript"/>
              </w:rPr>
              <w:t>2</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October 27, 2028</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BioMarin/AZL</w:t>
            </w:r>
          </w:p>
        </w:tc>
      </w:tr>
      <w:tr>
        <w:trPr>
          <w:trHeight w:val="196"/>
        </w:trPr>
        <w:tc>
          <w:tcPr>
            <w:tcW w:w="230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7"/>
                <w:szCs w:val="17"/>
                <w:color w:val="auto"/>
              </w:rPr>
              <w:t>U.S. RE48,468</w:t>
            </w:r>
            <w:r>
              <w:rPr>
                <w:rFonts w:ascii="Arial" w:cs="Arial" w:eastAsia="Arial" w:hAnsi="Arial"/>
                <w:sz w:val="22"/>
                <w:szCs w:val="22"/>
                <w:color w:val="auto"/>
                <w:vertAlign w:val="superscript"/>
              </w:rPr>
              <w:t>3</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October 27, 2028</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BioMarin/AZL</w:t>
            </w:r>
          </w:p>
        </w:tc>
      </w:tr>
      <w:tr>
        <w:trPr>
          <w:trHeight w:val="196"/>
        </w:trPr>
        <w:tc>
          <w:tcPr>
            <w:tcW w:w="230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7"/>
                <w:szCs w:val="17"/>
                <w:color w:val="auto"/>
              </w:rPr>
              <w:t>U.S. RE47,769</w:t>
            </w:r>
            <w:r>
              <w:rPr>
                <w:rFonts w:ascii="Arial" w:cs="Arial" w:eastAsia="Arial" w:hAnsi="Arial"/>
                <w:sz w:val="22"/>
                <w:szCs w:val="22"/>
                <w:color w:val="auto"/>
                <w:vertAlign w:val="superscript"/>
              </w:rPr>
              <w:t>4</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February 2, 2029</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3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9,506,058</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March 14, 2034</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Sarepta</w:t>
            </w:r>
          </w:p>
        </w:tc>
      </w:tr>
      <w:tr>
        <w:trPr>
          <w:trHeight w:val="196"/>
        </w:trPr>
        <w:tc>
          <w:tcPr>
            <w:tcW w:w="23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10,364,431</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March 14, 2034</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Sarepta</w:t>
            </w:r>
          </w:p>
        </w:tc>
      </w:tr>
      <w:tr>
        <w:trPr>
          <w:trHeight w:val="196"/>
        </w:trPr>
        <w:tc>
          <w:tcPr>
            <w:tcW w:w="23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10,337,003</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March 14, 2034</w:t>
            </w:r>
          </w:p>
        </w:tc>
        <w:tc>
          <w:tcPr>
            <w:tcW w:w="22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Sarepta</w:t>
            </w:r>
          </w:p>
        </w:tc>
      </w:tr>
    </w:tbl>
    <w:p>
      <w:pPr>
        <w:spacing w:after="0" w:line="229" w:lineRule="exact"/>
        <w:rPr>
          <w:sz w:val="20"/>
          <w:szCs w:val="20"/>
          <w:color w:val="auto"/>
        </w:rPr>
      </w:pPr>
    </w:p>
    <w:p>
      <w:pPr>
        <w:ind w:left="520" w:right="300" w:hanging="512"/>
        <w:spacing w:after="0" w:line="245" w:lineRule="auto"/>
        <w:tabs>
          <w:tab w:leader="none" w:pos="5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Reissue of U.S. 8,486,907, which previously was involved in U.S. Patent Interference No. 106,013 and ordered to be cancelled pursuant to Judgment dated September 29, 2015 (Decision dated December 29, 2015 denied our (UWA) Request for Rehearing. Appeal by us (UWA) to the Court of Appeals for the Federal Circuit (Case Nos. 2016-1937, 2016-2086 (consolidated)) voluntarily dismissed July 27, 2017.)</w:t>
      </w:r>
    </w:p>
    <w:p>
      <w:pPr>
        <w:spacing w:after="0" w:line="1" w:lineRule="exact"/>
        <w:rPr>
          <w:rFonts w:ascii="Arial" w:cs="Arial" w:eastAsia="Arial" w:hAnsi="Arial"/>
          <w:sz w:val="21"/>
          <w:szCs w:val="21"/>
          <w:color w:val="auto"/>
          <w:vertAlign w:val="superscript"/>
        </w:rPr>
      </w:pPr>
    </w:p>
    <w:p>
      <w:pPr>
        <w:ind w:left="520" w:hanging="512"/>
        <w:spacing w:after="0" w:line="183" w:lineRule="auto"/>
        <w:tabs>
          <w:tab w:leader="none" w:pos="52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Reissue application of U.S. 9,243,245 pending.</w:t>
      </w:r>
    </w:p>
    <w:p>
      <w:pPr>
        <w:ind w:left="520" w:hanging="512"/>
        <w:spacing w:after="0" w:line="183" w:lineRule="auto"/>
        <w:tabs>
          <w:tab w:leader="none" w:pos="52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Reissue of U.S. 9,243,245.</w:t>
      </w:r>
    </w:p>
    <w:p>
      <w:pPr>
        <w:ind w:left="520" w:right="280" w:hanging="512"/>
        <w:spacing w:after="0" w:line="215" w:lineRule="auto"/>
        <w:tabs>
          <w:tab w:leader="none" w:pos="52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Reissue of U.S. 7,807,816, which previously was involved in U.S. Patent Interference No. 106,008 (Judgment dated September 20, 2016 ordered cancellation of all claims of U.S. Application No. 13/550,210 to BioMarin (AZL). Appeal by BioMarin (AZL) to the Court of Appeals for the Federal Circuit (Case No. 2017-1078) voluntarily dismissed July 27, 2017.)</w:t>
      </w: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260" w:type="dxa"/>
            <w:vAlign w:val="bottom"/>
            <w:tcBorders>
              <w:top w:val="single" w:sz="8" w:color="auto"/>
              <w:left w:val="single" w:sz="8" w:color="auto"/>
              <w:right w:val="single" w:sz="8" w:color="auto"/>
            </w:tcBorders>
            <w:shd w:val="clear" w:color="auto" w:fill="D9D9D9"/>
          </w:tcPr>
          <w:p>
            <w:pPr>
              <w:ind w:left="120"/>
              <w:spacing w:after="0" w:line="156" w:lineRule="exact"/>
              <w:rPr>
                <w:sz w:val="20"/>
                <w:szCs w:val="20"/>
                <w:color w:val="auto"/>
              </w:rPr>
            </w:pPr>
            <w:r>
              <w:rPr>
                <w:rFonts w:ascii="Arial" w:cs="Arial" w:eastAsia="Arial" w:hAnsi="Arial"/>
                <w:sz w:val="14"/>
                <w:szCs w:val="14"/>
                <w:b w:val="1"/>
                <w:bCs w:val="1"/>
                <w:color w:val="auto"/>
              </w:rPr>
              <w:t>Patent Number</w:t>
            </w:r>
          </w:p>
        </w:tc>
        <w:tc>
          <w:tcPr>
            <w:tcW w:w="226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Country/Region*</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Patent Type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Expiration Date**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Owner/Licensor</w:t>
            </w:r>
          </w:p>
        </w:tc>
      </w:tr>
      <w:tr>
        <w:trPr>
          <w:trHeight w:val="188"/>
        </w:trPr>
        <w:tc>
          <w:tcPr>
            <w:tcW w:w="226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226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(if not Sarepta)</w:t>
            </w:r>
          </w:p>
        </w:tc>
      </w:tr>
      <w:tr>
        <w:trPr>
          <w:trHeight w:val="139"/>
        </w:trPr>
        <w:tc>
          <w:tcPr>
            <w:tcW w:w="226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6"/>
                <w:szCs w:val="16"/>
                <w:color w:val="auto"/>
              </w:rPr>
              <w:t>EP 1 766 010 B1</w:t>
            </w:r>
          </w:p>
        </w:tc>
        <w:tc>
          <w:tcPr>
            <w:tcW w:w="22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Europe</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Composition of Matter &amp;</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June 28, 2025</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UWA</w:t>
            </w:r>
          </w:p>
        </w:tc>
      </w:tr>
      <w:tr>
        <w:trPr>
          <w:trHeight w:val="216"/>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The various types of regulatory exclusivity for which our products have been granted and our product candidates are anticipated to be eligible to receive are generally discussed below, under ‘Government Regulation’ – ‘Data and Market Exclusivities’ and ‘Orphan Drug Designation and Exclusivity’. In connection with its FDA approval on September 19, 2016, EXONDYS 51 (eteplirsen) is protected with Orphan Drug Exclusivity until September 19,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Golodirsen</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280" w:type="dxa"/>
            <w:vAlign w:val="bottom"/>
            <w:tcBorders>
              <w:top w:val="single" w:sz="8" w:color="auto"/>
              <w:left w:val="single" w:sz="8" w:color="auto"/>
              <w:right w:val="single" w:sz="8" w:color="auto"/>
            </w:tcBorders>
            <w:shd w:val="clear" w:color="auto" w:fill="D9D9D9"/>
          </w:tcPr>
          <w:p>
            <w:pPr>
              <w:ind w:left="120"/>
              <w:spacing w:after="0" w:line="156" w:lineRule="exact"/>
              <w:rPr>
                <w:sz w:val="20"/>
                <w:szCs w:val="20"/>
                <w:color w:val="auto"/>
              </w:rPr>
            </w:pPr>
            <w:r>
              <w:rPr>
                <w:rFonts w:ascii="Arial" w:cs="Arial" w:eastAsia="Arial" w:hAnsi="Arial"/>
                <w:sz w:val="14"/>
                <w:szCs w:val="14"/>
                <w:b w:val="1"/>
                <w:bCs w:val="1"/>
                <w:color w:val="auto"/>
              </w:rPr>
              <w:t>Patent Number</w:t>
            </w:r>
          </w:p>
        </w:tc>
        <w:tc>
          <w:tcPr>
            <w:tcW w:w="2240" w:type="dxa"/>
            <w:vAlign w:val="bottom"/>
            <w:tcBorders>
              <w:top w:val="single" w:sz="8" w:color="auto"/>
              <w:right w:val="single" w:sz="8" w:color="auto"/>
            </w:tcBorders>
            <w:shd w:val="clear" w:color="auto" w:fill="D9D9D9"/>
          </w:tcPr>
          <w:p>
            <w:pPr>
              <w:ind w:left="80"/>
              <w:spacing w:after="0" w:line="156" w:lineRule="exact"/>
              <w:rPr>
                <w:sz w:val="20"/>
                <w:szCs w:val="20"/>
                <w:color w:val="auto"/>
              </w:rPr>
            </w:pPr>
            <w:r>
              <w:rPr>
                <w:rFonts w:ascii="Arial" w:cs="Arial" w:eastAsia="Arial" w:hAnsi="Arial"/>
                <w:sz w:val="14"/>
                <w:szCs w:val="14"/>
                <w:b w:val="1"/>
                <w:bCs w:val="1"/>
                <w:color w:val="auto"/>
              </w:rPr>
              <w:t>Country/Region*</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Patent Type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Expiration Date**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Owner/Licensor</w:t>
            </w:r>
          </w:p>
        </w:tc>
      </w:tr>
      <w:tr>
        <w:trPr>
          <w:trHeight w:val="188"/>
        </w:trPr>
        <w:tc>
          <w:tcPr>
            <w:tcW w:w="228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(if not Sarepta)</w:t>
            </w:r>
          </w:p>
        </w:tc>
      </w:tr>
      <w:tr>
        <w:trPr>
          <w:trHeight w:val="179"/>
        </w:trPr>
        <w:tc>
          <w:tcPr>
            <w:tcW w:w="22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Arial" w:cs="Arial" w:eastAsia="Arial" w:hAnsi="Arial"/>
                <w:sz w:val="15"/>
                <w:szCs w:val="15"/>
                <w:color w:val="auto"/>
              </w:rPr>
              <w:t>U.S. RE47,691</w:t>
            </w:r>
            <w:r>
              <w:rPr>
                <w:rFonts w:ascii="Arial" w:cs="Arial" w:eastAsia="Arial" w:hAnsi="Arial"/>
                <w:sz w:val="20"/>
                <w:szCs w:val="20"/>
                <w:color w:val="auto"/>
                <w:vertAlign w:val="superscript"/>
              </w:rPr>
              <w:t>1</w:t>
            </w:r>
          </w:p>
        </w:tc>
        <w:tc>
          <w:tcPr>
            <w:tcW w:w="224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UWA</w:t>
            </w:r>
          </w:p>
        </w:tc>
      </w:tr>
      <w:tr>
        <w:trPr>
          <w:trHeight w:val="196"/>
        </w:trPr>
        <w:tc>
          <w:tcPr>
            <w:tcW w:w="22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9,024,007</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28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7"/>
                <w:szCs w:val="17"/>
                <w:color w:val="auto"/>
              </w:rPr>
              <w:t>U.S. 9,994,851</w:t>
            </w:r>
            <w:r>
              <w:rPr>
                <w:rFonts w:ascii="Arial" w:cs="Arial" w:eastAsia="Arial" w:hAnsi="Arial"/>
                <w:sz w:val="22"/>
                <w:szCs w:val="22"/>
                <w:color w:val="auto"/>
                <w:vertAlign w:val="superscript"/>
              </w:rPr>
              <w:t>2</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28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7"/>
                <w:szCs w:val="17"/>
                <w:color w:val="auto"/>
              </w:rPr>
              <w:t>U.S. 10,266,827</w:t>
            </w:r>
            <w:r>
              <w:rPr>
                <w:rFonts w:ascii="Arial" w:cs="Arial" w:eastAsia="Arial" w:hAnsi="Arial"/>
                <w:sz w:val="22"/>
                <w:szCs w:val="22"/>
                <w:color w:val="auto"/>
                <w:vertAlign w:val="superscript"/>
              </w:rPr>
              <w:t>2</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28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7"/>
                <w:szCs w:val="17"/>
                <w:color w:val="auto"/>
              </w:rPr>
              <w:t>U.S. 10,227,590</w:t>
            </w:r>
            <w:r>
              <w:rPr>
                <w:rFonts w:ascii="Arial" w:cs="Arial" w:eastAsia="Arial" w:hAnsi="Arial"/>
                <w:sz w:val="22"/>
                <w:szCs w:val="22"/>
                <w:color w:val="auto"/>
                <w:vertAlign w:val="superscript"/>
              </w:rPr>
              <w:t>2</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2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10,421,966</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96"/>
        </w:trPr>
        <w:tc>
          <w:tcPr>
            <w:tcW w:w="22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10,968,450</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June 28, 2025</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56"/>
        </w:trPr>
        <w:tc>
          <w:tcPr>
            <w:tcW w:w="228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U.S. 10,995,337</w:t>
            </w:r>
          </w:p>
        </w:tc>
        <w:tc>
          <w:tcPr>
            <w:tcW w:w="22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United States</w:t>
            </w:r>
          </w:p>
        </w:tc>
        <w:tc>
          <w:tcPr>
            <w:tcW w:w="22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Composition of Matter &amp;</w:t>
            </w:r>
          </w:p>
        </w:tc>
        <w:tc>
          <w:tcPr>
            <w:tcW w:w="22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June 28, 2025</w:t>
            </w:r>
          </w:p>
        </w:tc>
        <w:tc>
          <w:tcPr>
            <w:tcW w:w="22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UWA</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520" w:hanging="512"/>
        <w:spacing w:after="0" w:line="228" w:lineRule="auto"/>
        <w:tabs>
          <w:tab w:leader="none" w:pos="52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Reissue of U.S. 8,455,636, which previously was involved in U.S. Patent Interference No. 106,007. (Judgment dated April 29, 2016 ordered cancellation of (i) all claims, except claim 77, of U.S. Application No. 11/233,495 to BioMarin (AZL); and (ii) U.S. 8,455,636 to us (UWA). Appeal by BioMarin (AZL) to the Court of Appeals for the Federal Circuit (Case No. 2016-2262) voluntarily dismissed July 27, 2017.)</w:t>
      </w:r>
    </w:p>
    <w:p>
      <w:pPr>
        <w:ind w:left="520" w:right="20" w:hanging="512"/>
        <w:spacing w:after="0" w:line="207"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 xml:space="preserve">Involved in </w:t>
      </w:r>
      <w:r>
        <w:rPr>
          <w:rFonts w:ascii="Arial" w:cs="Arial" w:eastAsia="Arial" w:hAnsi="Arial"/>
          <w:sz w:val="18"/>
          <w:szCs w:val="18"/>
          <w:i w:val="1"/>
          <w:iCs w:val="1"/>
          <w:color w:val="auto"/>
        </w:rPr>
        <w:t>Nippon Shinyaku Co., Ltd. v. Sarepta Therapeutics, Inc.</w:t>
      </w:r>
      <w:r>
        <w:rPr>
          <w:rFonts w:ascii="Arial" w:cs="Arial" w:eastAsia="Arial" w:hAnsi="Arial"/>
          <w:sz w:val="18"/>
          <w:szCs w:val="18"/>
          <w:color w:val="auto"/>
        </w:rPr>
        <w:t>, C.A. No. 21-1015 (LPS) (D. Del. 2021) filed on July 13, 2021 in which Nippon Shinyaku is seeking a determination of invalidity and Sarepta is seeking counterclaims of infringement.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280" w:type="dxa"/>
            <w:vAlign w:val="bottom"/>
            <w:tcBorders>
              <w:top w:val="single" w:sz="8" w:color="auto"/>
              <w:left w:val="single" w:sz="8" w:color="auto"/>
              <w:right w:val="single" w:sz="8" w:color="auto"/>
            </w:tcBorders>
            <w:shd w:val="clear" w:color="auto" w:fill="D9D9D9"/>
          </w:tcPr>
          <w:p>
            <w:pPr>
              <w:ind w:left="120"/>
              <w:spacing w:after="0" w:line="156" w:lineRule="exact"/>
              <w:rPr>
                <w:sz w:val="20"/>
                <w:szCs w:val="20"/>
                <w:color w:val="auto"/>
              </w:rPr>
            </w:pPr>
            <w:r>
              <w:rPr>
                <w:rFonts w:ascii="Arial" w:cs="Arial" w:eastAsia="Arial" w:hAnsi="Arial"/>
                <w:sz w:val="14"/>
                <w:szCs w:val="14"/>
                <w:b w:val="1"/>
                <w:bCs w:val="1"/>
                <w:color w:val="auto"/>
              </w:rPr>
              <w:t>Patent Number</w:t>
            </w:r>
          </w:p>
        </w:tc>
        <w:tc>
          <w:tcPr>
            <w:tcW w:w="2240" w:type="dxa"/>
            <w:vAlign w:val="bottom"/>
            <w:tcBorders>
              <w:top w:val="single" w:sz="8" w:color="auto"/>
              <w:right w:val="single" w:sz="8" w:color="auto"/>
            </w:tcBorders>
            <w:shd w:val="clear" w:color="auto" w:fill="D9D9D9"/>
          </w:tcPr>
          <w:p>
            <w:pPr>
              <w:ind w:left="80"/>
              <w:spacing w:after="0" w:line="156" w:lineRule="exact"/>
              <w:rPr>
                <w:sz w:val="20"/>
                <w:szCs w:val="20"/>
                <w:color w:val="auto"/>
              </w:rPr>
            </w:pPr>
            <w:r>
              <w:rPr>
                <w:rFonts w:ascii="Arial" w:cs="Arial" w:eastAsia="Arial" w:hAnsi="Arial"/>
                <w:sz w:val="14"/>
                <w:szCs w:val="14"/>
                <w:b w:val="1"/>
                <w:bCs w:val="1"/>
                <w:color w:val="auto"/>
              </w:rPr>
              <w:t>Country/Region*</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Patent Type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Expiration Date**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Owner/Licensor</w:t>
            </w:r>
          </w:p>
        </w:tc>
      </w:tr>
      <w:tr>
        <w:trPr>
          <w:trHeight w:val="188"/>
        </w:trPr>
        <w:tc>
          <w:tcPr>
            <w:tcW w:w="228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(if not Sarepta)</w:t>
            </w:r>
          </w:p>
        </w:tc>
      </w:tr>
      <w:tr>
        <w:trPr>
          <w:trHeight w:val="139"/>
        </w:trPr>
        <w:tc>
          <w:tcPr>
            <w:tcW w:w="228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3"/>
                <w:szCs w:val="13"/>
                <w:color w:val="auto"/>
              </w:rPr>
              <w:t>EP 2 206 781 B1</w:t>
            </w:r>
            <w:r>
              <w:rPr>
                <w:rFonts w:ascii="Arial" w:cs="Arial" w:eastAsia="Arial" w:hAnsi="Arial"/>
                <w:sz w:val="16"/>
                <w:szCs w:val="16"/>
                <w:color w:val="auto"/>
                <w:vertAlign w:val="superscript"/>
              </w:rPr>
              <w:t>1</w:t>
            </w:r>
          </w:p>
        </w:tc>
        <w:tc>
          <w:tcPr>
            <w:tcW w:w="224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Europe</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Composition of Matter &amp;</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June 28, 2025</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UWA</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96"/>
        </w:trPr>
        <w:tc>
          <w:tcPr>
            <w:tcW w:w="22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EP 2 970 964 B1</w:t>
            </w:r>
          </w:p>
        </w:tc>
        <w:tc>
          <w:tcPr>
            <w:tcW w:w="22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Europe</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Composition of Matter</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March 14, 2034</w:t>
            </w:r>
          </w:p>
        </w:tc>
        <w:tc>
          <w:tcPr>
            <w:tcW w:w="22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Sarepta</w:t>
            </w:r>
          </w:p>
        </w:tc>
      </w:tr>
    </w:tbl>
    <w:p>
      <w:pPr>
        <w:spacing w:after="0" w:line="229" w:lineRule="exact"/>
        <w:rPr>
          <w:sz w:val="20"/>
          <w:szCs w:val="20"/>
          <w:color w:val="auto"/>
        </w:rPr>
      </w:pPr>
    </w:p>
    <w:p>
      <w:pPr>
        <w:ind w:left="520" w:right="80" w:hanging="512"/>
        <w:spacing w:after="0" w:line="215" w:lineRule="auto"/>
        <w:tabs>
          <w:tab w:leader="none" w:pos="520" w:val="left"/>
        </w:tabs>
        <w:numPr>
          <w:ilvl w:val="0"/>
          <w:numId w:val="13"/>
        </w:numPr>
        <w:rPr>
          <w:rFonts w:ascii="Arial" w:cs="Arial" w:eastAsia="Arial" w:hAnsi="Arial"/>
          <w:sz w:val="24"/>
          <w:szCs w:val="24"/>
          <w:color w:val="auto"/>
          <w:vertAlign w:val="superscript"/>
        </w:rPr>
      </w:pPr>
      <w:r>
        <w:rPr>
          <w:rFonts w:ascii="Arial" w:cs="Arial" w:eastAsia="Arial" w:hAnsi="Arial"/>
          <w:sz w:val="18"/>
          <w:szCs w:val="18"/>
          <w:color w:val="auto"/>
        </w:rPr>
        <w:t>Involved in Opposition proceedings initiated on August 25, 2016. EPO ordered revocation of patent on December 19, 2017. Appeal filed February 19, 2018 is pending.</w:t>
      </w:r>
    </w:p>
    <w:p>
      <w:pPr>
        <w:spacing w:after="0" w:line="188" w:lineRule="exact"/>
        <w:rPr>
          <w:sz w:val="20"/>
          <w:szCs w:val="20"/>
          <w:color w:val="auto"/>
        </w:rPr>
      </w:pPr>
    </w:p>
    <w:p>
      <w:pPr>
        <w:jc w:val="both"/>
        <w:ind w:right="100" w:firstLine="749"/>
        <w:spacing w:after="0" w:line="243" w:lineRule="auto"/>
        <w:rPr>
          <w:sz w:val="20"/>
          <w:szCs w:val="20"/>
          <w:color w:val="auto"/>
        </w:rPr>
      </w:pPr>
      <w:r>
        <w:rPr>
          <w:rFonts w:ascii="Arial" w:cs="Arial" w:eastAsia="Arial" w:hAnsi="Arial"/>
          <w:sz w:val="18"/>
          <w:szCs w:val="18"/>
          <w:color w:val="auto"/>
        </w:rPr>
        <w:t>The various types of regulatory exclusivity for which our products have been granted and our product candidates are anticipated to be eligible to receive are generally discussed below, under ‘Government Regulation’ – ‘Data and Market Exclusivities’ and ‘Orphan Drug Designation and Exclusivity’. In connection with its FDA approval on December 12, 2019, the FDA granted VYONDYS 53 (golodirsen) NCE exclusivity until December 12, 2024, and Orphan Drug Exclusivity until December 12, 2026.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Casimersen</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4600" w:type="dxa"/>
            <w:vAlign w:val="bottom"/>
            <w:tcBorders>
              <w:top w:val="single" w:sz="8" w:color="auto"/>
              <w:left w:val="single" w:sz="8" w:color="auto"/>
              <w:right w:val="single" w:sz="8" w:color="auto"/>
            </w:tcBorders>
            <w:shd w:val="clear" w:color="auto" w:fill="D9D9D9"/>
          </w:tcPr>
          <w:p>
            <w:pPr>
              <w:ind w:left="120"/>
              <w:spacing w:after="0" w:line="156" w:lineRule="exact"/>
              <w:rPr>
                <w:sz w:val="20"/>
                <w:szCs w:val="20"/>
                <w:color w:val="auto"/>
              </w:rPr>
            </w:pPr>
            <w:r>
              <w:rPr>
                <w:rFonts w:ascii="Arial" w:cs="Arial" w:eastAsia="Arial" w:hAnsi="Arial"/>
                <w:sz w:val="14"/>
                <w:szCs w:val="14"/>
                <w:b w:val="1"/>
                <w:bCs w:val="1"/>
                <w:color w:val="auto"/>
              </w:rPr>
              <w:t>Patent Number</w:t>
            </w:r>
          </w:p>
        </w:tc>
        <w:tc>
          <w:tcPr>
            <w:tcW w:w="1720" w:type="dxa"/>
            <w:vAlign w:val="bottom"/>
            <w:tcBorders>
              <w:top w:val="single" w:sz="8" w:color="auto"/>
              <w:right w:val="single" w:sz="8" w:color="auto"/>
            </w:tcBorders>
            <w:shd w:val="clear" w:color="auto" w:fill="D9D9D9"/>
          </w:tcPr>
          <w:p>
            <w:pPr>
              <w:ind w:left="80"/>
              <w:spacing w:after="0" w:line="156" w:lineRule="exact"/>
              <w:rPr>
                <w:sz w:val="20"/>
                <w:szCs w:val="20"/>
                <w:color w:val="auto"/>
              </w:rPr>
            </w:pPr>
            <w:r>
              <w:rPr>
                <w:rFonts w:ascii="Arial" w:cs="Arial" w:eastAsia="Arial" w:hAnsi="Arial"/>
                <w:sz w:val="14"/>
                <w:szCs w:val="14"/>
                <w:b w:val="1"/>
                <w:bCs w:val="1"/>
                <w:color w:val="auto"/>
              </w:rPr>
              <w:t>Country/Region*</w:t>
            </w:r>
          </w:p>
        </w:tc>
        <w:tc>
          <w:tcPr>
            <w:tcW w:w="176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Patent Type</w:t>
            </w:r>
          </w:p>
        </w:tc>
        <w:tc>
          <w:tcPr>
            <w:tcW w:w="178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Expiration Date**</w:t>
            </w:r>
          </w:p>
        </w:tc>
        <w:tc>
          <w:tcPr>
            <w:tcW w:w="138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Owner/Licensor</w:t>
            </w:r>
          </w:p>
        </w:tc>
      </w:tr>
      <w:tr>
        <w:trPr>
          <w:trHeight w:val="188"/>
        </w:trPr>
        <w:tc>
          <w:tcPr>
            <w:tcW w:w="460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1720" w:type="dxa"/>
            <w:vAlign w:val="bottom"/>
            <w:tcBorders>
              <w:bottom w:val="single" w:sz="8" w:color="auto"/>
              <w:right w:val="single" w:sz="8" w:color="auto"/>
            </w:tcBorders>
            <w:shd w:val="clear" w:color="auto" w:fill="D9D9D9"/>
          </w:tcPr>
          <w:p>
            <w:pPr>
              <w:spacing w:after="0"/>
              <w:rPr>
                <w:sz w:val="16"/>
                <w:szCs w:val="16"/>
                <w:color w:val="auto"/>
              </w:rPr>
            </w:pPr>
          </w:p>
        </w:tc>
        <w:tc>
          <w:tcPr>
            <w:tcW w:w="1760" w:type="dxa"/>
            <w:vAlign w:val="bottom"/>
            <w:tcBorders>
              <w:bottom w:val="single" w:sz="8" w:color="auto"/>
              <w:right w:val="single" w:sz="8" w:color="auto"/>
            </w:tcBorders>
            <w:shd w:val="clear" w:color="auto" w:fill="D9D9D9"/>
          </w:tcPr>
          <w:p>
            <w:pPr>
              <w:spacing w:after="0"/>
              <w:rPr>
                <w:sz w:val="16"/>
                <w:szCs w:val="16"/>
                <w:color w:val="auto"/>
              </w:rPr>
            </w:pPr>
          </w:p>
        </w:tc>
        <w:tc>
          <w:tcPr>
            <w:tcW w:w="1780" w:type="dxa"/>
            <w:vAlign w:val="bottom"/>
            <w:tcBorders>
              <w:bottom w:val="single" w:sz="8" w:color="auto"/>
              <w:right w:val="single" w:sz="8" w:color="auto"/>
            </w:tcBorders>
            <w:shd w:val="clear" w:color="auto" w:fill="D9D9D9"/>
          </w:tcPr>
          <w:p>
            <w:pPr>
              <w:spacing w:after="0"/>
              <w:rPr>
                <w:sz w:val="16"/>
                <w:szCs w:val="16"/>
                <w:color w:val="auto"/>
              </w:rPr>
            </w:pPr>
          </w:p>
        </w:tc>
        <w:tc>
          <w:tcPr>
            <w:tcW w:w="138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(if not Sarepta)</w:t>
            </w:r>
          </w:p>
        </w:tc>
      </w:tr>
      <w:tr>
        <w:trPr>
          <w:trHeight w:val="139"/>
        </w:trPr>
        <w:tc>
          <w:tcPr>
            <w:tcW w:w="460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6"/>
                <w:szCs w:val="16"/>
                <w:color w:val="auto"/>
              </w:rPr>
              <w:t>U.S. 9,447,415</w:t>
            </w:r>
          </w:p>
        </w:tc>
        <w:tc>
          <w:tcPr>
            <w:tcW w:w="172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United States</w:t>
            </w:r>
          </w:p>
        </w:tc>
        <w:tc>
          <w:tcPr>
            <w:tcW w:w="17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Composition of</w:t>
            </w:r>
          </w:p>
        </w:tc>
        <w:tc>
          <w:tcPr>
            <w:tcW w:w="178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June 28, 2025</w:t>
            </w:r>
          </w:p>
        </w:tc>
        <w:tc>
          <w:tcPr>
            <w:tcW w:w="138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UWA</w:t>
            </w:r>
          </w:p>
        </w:tc>
      </w:tr>
      <w:tr>
        <w:trPr>
          <w:trHeight w:val="216"/>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Matter</w:t>
            </w:r>
          </w:p>
        </w:tc>
        <w:tc>
          <w:tcPr>
            <w:tcW w:w="17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155"/>
        </w:trPr>
        <w:tc>
          <w:tcPr>
            <w:tcW w:w="460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4"/>
                <w:szCs w:val="14"/>
                <w:color w:val="auto"/>
              </w:rPr>
              <w:t>U.S. 8,524,880</w:t>
            </w:r>
            <w:r>
              <w:rPr>
                <w:rFonts w:ascii="Arial" w:cs="Arial" w:eastAsia="Arial" w:hAnsi="Arial"/>
                <w:sz w:val="18"/>
                <w:szCs w:val="18"/>
                <w:color w:val="auto"/>
                <w:vertAlign w:val="superscript"/>
              </w:rPr>
              <w:t>1</w:t>
            </w:r>
          </w:p>
        </w:tc>
        <w:tc>
          <w:tcPr>
            <w:tcW w:w="17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United States</w:t>
            </w:r>
          </w:p>
        </w:tc>
        <w:tc>
          <w:tcPr>
            <w:tcW w:w="1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Composition of</w:t>
            </w:r>
          </w:p>
        </w:tc>
        <w:tc>
          <w:tcPr>
            <w:tcW w:w="17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April 2, 2026</w:t>
            </w:r>
          </w:p>
        </w:tc>
        <w:tc>
          <w:tcPr>
            <w:tcW w:w="13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UWA</w:t>
            </w:r>
          </w:p>
        </w:tc>
      </w:tr>
      <w:tr>
        <w:trPr>
          <w:trHeight w:val="175"/>
        </w:trPr>
        <w:tc>
          <w:tcPr>
            <w:tcW w:w="4600" w:type="dxa"/>
            <w:vAlign w:val="bottom"/>
            <w:tcBorders>
              <w:left w:val="single" w:sz="8" w:color="auto"/>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Matter &amp;</w:t>
            </w:r>
          </w:p>
        </w:tc>
        <w:tc>
          <w:tcPr>
            <w:tcW w:w="17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216"/>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Methods of Use</w:t>
            </w:r>
          </w:p>
        </w:tc>
        <w:tc>
          <w:tcPr>
            <w:tcW w:w="17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155"/>
        </w:trPr>
        <w:tc>
          <w:tcPr>
            <w:tcW w:w="460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U.S. 9,228,187</w:t>
            </w:r>
          </w:p>
        </w:tc>
        <w:tc>
          <w:tcPr>
            <w:tcW w:w="17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United States</w:t>
            </w:r>
          </w:p>
        </w:tc>
        <w:tc>
          <w:tcPr>
            <w:tcW w:w="1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Composition of</w:t>
            </w:r>
          </w:p>
        </w:tc>
        <w:tc>
          <w:tcPr>
            <w:tcW w:w="17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12, 2030</w:t>
            </w:r>
          </w:p>
        </w:tc>
        <w:tc>
          <w:tcPr>
            <w:tcW w:w="13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UWA</w:t>
            </w:r>
          </w:p>
        </w:tc>
      </w:tr>
      <w:tr>
        <w:trPr>
          <w:trHeight w:val="216"/>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Matter</w:t>
            </w:r>
          </w:p>
        </w:tc>
        <w:tc>
          <w:tcPr>
            <w:tcW w:w="17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196"/>
        </w:trPr>
        <w:tc>
          <w:tcPr>
            <w:tcW w:w="46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9,758,783</w:t>
            </w:r>
          </w:p>
        </w:tc>
        <w:tc>
          <w:tcPr>
            <w:tcW w:w="17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1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17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November 12, 2030</w:t>
            </w:r>
          </w:p>
        </w:tc>
        <w:tc>
          <w:tcPr>
            <w:tcW w:w="13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r>
        <w:trPr>
          <w:trHeight w:val="155"/>
        </w:trPr>
        <w:tc>
          <w:tcPr>
            <w:tcW w:w="460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U.S. 10,287,586</w:t>
            </w:r>
          </w:p>
        </w:tc>
        <w:tc>
          <w:tcPr>
            <w:tcW w:w="17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United States</w:t>
            </w:r>
          </w:p>
        </w:tc>
        <w:tc>
          <w:tcPr>
            <w:tcW w:w="17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Composition of</w:t>
            </w:r>
          </w:p>
        </w:tc>
        <w:tc>
          <w:tcPr>
            <w:tcW w:w="17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November 12, 2030</w:t>
            </w:r>
          </w:p>
        </w:tc>
        <w:tc>
          <w:tcPr>
            <w:tcW w:w="13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UWA</w:t>
            </w:r>
          </w:p>
        </w:tc>
      </w:tr>
      <w:tr>
        <w:trPr>
          <w:trHeight w:val="216"/>
        </w:trPr>
        <w:tc>
          <w:tcPr>
            <w:tcW w:w="460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Matter</w:t>
            </w:r>
          </w:p>
        </w:tc>
        <w:tc>
          <w:tcPr>
            <w:tcW w:w="17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196"/>
        </w:trPr>
        <w:tc>
          <w:tcPr>
            <w:tcW w:w="46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U.S. 10,781,450</w:t>
            </w:r>
          </w:p>
        </w:tc>
        <w:tc>
          <w:tcPr>
            <w:tcW w:w="17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United States</w:t>
            </w:r>
          </w:p>
        </w:tc>
        <w:tc>
          <w:tcPr>
            <w:tcW w:w="17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Methods of Use</w:t>
            </w:r>
          </w:p>
        </w:tc>
        <w:tc>
          <w:tcPr>
            <w:tcW w:w="17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November 12, 2030</w:t>
            </w:r>
          </w:p>
        </w:tc>
        <w:tc>
          <w:tcPr>
            <w:tcW w:w="13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UWA</w:t>
            </w:r>
          </w:p>
        </w:tc>
      </w:tr>
    </w:tbl>
    <w:p>
      <w:pPr>
        <w:spacing w:after="0" w:line="183"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24"/>
          <w:szCs w:val="24"/>
          <w:color w:val="auto"/>
          <w:vertAlign w:val="superscript"/>
        </w:rPr>
      </w:pPr>
      <w:r>
        <w:rPr>
          <w:rFonts w:ascii="Arial" w:cs="Arial" w:eastAsia="Arial" w:hAnsi="Arial"/>
          <w:sz w:val="18"/>
          <w:szCs w:val="18"/>
          <w:color w:val="auto"/>
        </w:rPr>
        <w:t>Reissue application of U.S. 8,524,880 pending.</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260" w:type="dxa"/>
            <w:vAlign w:val="bottom"/>
            <w:tcBorders>
              <w:top w:val="single" w:sz="8" w:color="auto"/>
              <w:left w:val="single" w:sz="8" w:color="auto"/>
              <w:right w:val="single" w:sz="8" w:color="auto"/>
            </w:tcBorders>
            <w:shd w:val="clear" w:color="auto" w:fill="D9D9D9"/>
          </w:tcPr>
          <w:p>
            <w:pPr>
              <w:ind w:left="120"/>
              <w:spacing w:after="0" w:line="156" w:lineRule="exact"/>
              <w:rPr>
                <w:sz w:val="20"/>
                <w:szCs w:val="20"/>
                <w:color w:val="auto"/>
              </w:rPr>
            </w:pPr>
            <w:r>
              <w:rPr>
                <w:rFonts w:ascii="Arial" w:cs="Arial" w:eastAsia="Arial" w:hAnsi="Arial"/>
                <w:sz w:val="14"/>
                <w:szCs w:val="14"/>
                <w:b w:val="1"/>
                <w:bCs w:val="1"/>
                <w:color w:val="auto"/>
              </w:rPr>
              <w:t>Patent Number</w:t>
            </w:r>
          </w:p>
        </w:tc>
        <w:tc>
          <w:tcPr>
            <w:tcW w:w="226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Country/Region*</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Patent Type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Expiration Date**</w:t>
            </w:r>
          </w:p>
        </w:tc>
        <w:tc>
          <w:tcPr>
            <w:tcW w:w="2240" w:type="dxa"/>
            <w:vAlign w:val="bottom"/>
            <w:tcBorders>
              <w:top w:val="single" w:sz="8" w:color="auto"/>
              <w:right w:val="single" w:sz="8" w:color="auto"/>
            </w:tcBorders>
            <w:shd w:val="clear" w:color="auto" w:fill="D9D9D9"/>
          </w:tcPr>
          <w:p>
            <w:pPr>
              <w:ind w:left="100"/>
              <w:spacing w:after="0" w:line="156" w:lineRule="exact"/>
              <w:rPr>
                <w:sz w:val="20"/>
                <w:szCs w:val="20"/>
                <w:color w:val="auto"/>
              </w:rPr>
            </w:pPr>
            <w:r>
              <w:rPr>
                <w:rFonts w:ascii="Arial" w:cs="Arial" w:eastAsia="Arial" w:hAnsi="Arial"/>
                <w:sz w:val="14"/>
                <w:szCs w:val="14"/>
                <w:b w:val="1"/>
                <w:bCs w:val="1"/>
                <w:color w:val="auto"/>
              </w:rPr>
              <w:t>Owner/Licensor</w:t>
            </w:r>
          </w:p>
        </w:tc>
      </w:tr>
      <w:tr>
        <w:trPr>
          <w:trHeight w:val="188"/>
        </w:trPr>
        <w:tc>
          <w:tcPr>
            <w:tcW w:w="226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226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(if not Sarepta)</w:t>
            </w:r>
          </w:p>
        </w:tc>
      </w:tr>
      <w:tr>
        <w:trPr>
          <w:trHeight w:val="139"/>
        </w:trPr>
        <w:tc>
          <w:tcPr>
            <w:tcW w:w="2260" w:type="dxa"/>
            <w:vAlign w:val="bottom"/>
            <w:tcBorders>
              <w:left w:val="single" w:sz="8" w:color="auto"/>
              <w:right w:val="single" w:sz="8" w:color="auto"/>
            </w:tcBorders>
          </w:tcPr>
          <w:p>
            <w:pPr>
              <w:ind w:left="120"/>
              <w:spacing w:after="0" w:line="138" w:lineRule="exact"/>
              <w:rPr>
                <w:sz w:val="20"/>
                <w:szCs w:val="20"/>
                <w:color w:val="auto"/>
              </w:rPr>
            </w:pPr>
            <w:r>
              <w:rPr>
                <w:rFonts w:ascii="Arial" w:cs="Arial" w:eastAsia="Arial" w:hAnsi="Arial"/>
                <w:sz w:val="16"/>
                <w:szCs w:val="16"/>
                <w:color w:val="auto"/>
              </w:rPr>
              <w:t>EP 2 499 249 B1</w:t>
            </w:r>
          </w:p>
        </w:tc>
        <w:tc>
          <w:tcPr>
            <w:tcW w:w="226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Europe</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Composition of Matter &amp;</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November 12, 2030</w:t>
            </w:r>
          </w:p>
        </w:tc>
        <w:tc>
          <w:tcPr>
            <w:tcW w:w="224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UWA</w:t>
            </w:r>
          </w:p>
        </w:tc>
      </w:tr>
      <w:tr>
        <w:trPr>
          <w:trHeight w:val="216"/>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Methods of Use</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628"/>
        </w:trPr>
        <w:tc>
          <w:tcPr>
            <w:tcW w:w="2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jc w:val="right"/>
              <w:ind w:right="897"/>
              <w:spacing w:after="0"/>
              <w:rPr>
                <w:sz w:val="20"/>
                <w:szCs w:val="20"/>
                <w:color w:val="auto"/>
              </w:rPr>
            </w:pPr>
            <w:r>
              <w:rPr>
                <w:rFonts w:ascii="Arial" w:cs="Arial" w:eastAsia="Arial" w:hAnsi="Arial"/>
                <w:sz w:val="18"/>
                <w:szCs w:val="18"/>
                <w:color w:val="auto"/>
              </w:rPr>
              <w:t>-17-</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p>
      <w:pPr>
        <w:ind w:right="100" w:firstLine="749"/>
        <w:spacing w:after="0" w:line="243" w:lineRule="auto"/>
        <w:rPr>
          <w:sz w:val="20"/>
          <w:szCs w:val="20"/>
          <w:color w:val="auto"/>
        </w:rPr>
      </w:pPr>
      <w:r>
        <w:rPr>
          <w:rFonts w:ascii="Arial" w:cs="Arial" w:eastAsia="Arial" w:hAnsi="Arial"/>
          <w:sz w:val="18"/>
          <w:szCs w:val="18"/>
          <w:color w:val="auto"/>
        </w:rPr>
        <w:t>The various types of regulatory exclusivity for which our products have been granted and our product candidates are anticipated to be eligible to receive are generally discussed below, under ‘Government Regulation’ – ‘Data and Market Exclusivities’ and ‘Orphan Drug Designation and Exclusivity’. In connection with its FDA approval on February 25, 2021, the FDA granted AMONDYS 45 (casimersen) NCE exclusivity until February 25, 2026, and Orphan Drug Exclusivity until February 25, 2028.</w:t>
      </w:r>
    </w:p>
    <w:p>
      <w:pPr>
        <w:spacing w:after="0" w:line="134" w:lineRule="exact"/>
        <w:rPr>
          <w:sz w:val="20"/>
          <w:szCs w:val="20"/>
          <w:color w:val="auto"/>
        </w:rPr>
      </w:pPr>
    </w:p>
    <w:p>
      <w:pPr>
        <w:ind w:right="500" w:firstLine="757"/>
        <w:spacing w:after="0" w:line="250" w:lineRule="auto"/>
        <w:tabs>
          <w:tab w:leader="none" w:pos="9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Granted patents in the U.S. and Europe (EP) are shown here. Additional patent protection in the U.S., Europe (EP) or other countries or regions through pending or granted foreign counterparts may be available.</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 Stated expiration dates do not account for any patent term extension, supplemental protection certificate or pediatric extensions that may be</w:t>
      </w:r>
    </w:p>
    <w:p>
      <w:pPr>
        <w:spacing w:after="0" w:line="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available.</w:t>
      </w:r>
    </w:p>
    <w:p>
      <w:pPr>
        <w:spacing w:after="0" w:line="196"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In addition to the foregoing composition of matter and method of use patents that protect eteplirsen, casimersen and golodirsen, we either solely own or control (or in the case of BioMarin/AZL patents, control with BioMarin) patents and patent applications in the U.S. and in major foreign markets that, if granted, provide additional protection for eteplirsen, casimersen, and golodirsen, which cover the composition of matter, preparation and/or uses of the products. These patents, and patent applications, if granted, would expire through at least 2038, such expiration dates not accounting for any patent term extension, patent term adjustment, supplemental protection certificate or pediatric extensions that may be available.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Technologies</w:t>
      </w:r>
    </w:p>
    <w:p>
      <w:pPr>
        <w:spacing w:after="0" w:line="212" w:lineRule="exact"/>
        <w:rPr>
          <w:sz w:val="20"/>
          <w:szCs w:val="20"/>
          <w:color w:val="auto"/>
        </w:rPr>
      </w:pPr>
    </w:p>
    <w:p>
      <w:pPr>
        <w:ind w:right="240" w:firstLine="749"/>
        <w:spacing w:after="0" w:line="270" w:lineRule="auto"/>
        <w:rPr>
          <w:sz w:val="20"/>
          <w:szCs w:val="20"/>
          <w:color w:val="auto"/>
        </w:rPr>
      </w:pPr>
      <w:r>
        <w:rPr>
          <w:rFonts w:ascii="Arial" w:cs="Arial" w:eastAsia="Arial" w:hAnsi="Arial"/>
          <w:sz w:val="17"/>
          <w:szCs w:val="17"/>
          <w:color w:val="auto"/>
        </w:rPr>
        <w:t>We separately own patents and patent applications in the U.S. and in major foreign markets that cover our proprietary PMO-based platform technologies (e.g., PPMO) relevant to our products. These patents, and patent applications, if granted, expire through at least 2038, such expiration dates not accounting for any patent term extension, supplemental protection certificate or pediatric extensions that may be available.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12"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Our trademarks are important to us and are generally filed to protect our corporate brand, our products and platform technologies. We typically file trademark applications and pursue their registration in the U.S., Europe and other markets in which we anticipate using such trademarks. We are the owner of multiple federal trademark registrations in the U.S. including, but not limited to, Sarepta, Sarepta Therapeutics, the double-helix logo, EXONDYS, EXONDYS 51, the EXONDYS 51 Logo, VYONDYS, VYONDYS 53, the VYONDYS 53 Logo, AMONDYS, AMONDYS 45, and the AMONDYS 45 Logo. In addition, we have multiple pending trademark applications and registrations in the U.S. and in major foreign markets.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160" w:firstLine="749"/>
        <w:spacing w:after="0" w:line="279" w:lineRule="auto"/>
        <w:rPr>
          <w:sz w:val="20"/>
          <w:szCs w:val="20"/>
          <w:color w:val="auto"/>
        </w:rPr>
      </w:pPr>
      <w:r>
        <w:rPr>
          <w:rFonts w:ascii="Arial" w:cs="Arial" w:eastAsia="Arial" w:hAnsi="Arial"/>
          <w:sz w:val="16"/>
          <w:szCs w:val="16"/>
          <w:color w:val="auto"/>
        </w:rPr>
        <w:t>The testing, manufacturing, labeling, advertising, promotion, distribution, exportation and marketing of our products are subject to extensive regulation by governmental authorities in the U.S. and in other countries. In the U.S., the FDA, under the Federal Food, Drug and Cosmetic Act and its implementing regulations, regulates pharmaceutical products. Failure to comply with applicable U.S. requirements may subject us to administrative or judicial sanctions, such as FDA refusal to approve pending marketing applications, withdrawal of approval of approved products, warning letters, untitled letters, product recalls, product seizures, total or partial suspension of production or distribution, injunctions, civil penalties and/or criminal prosecution.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b w:val="1"/>
          <w:bCs w:val="1"/>
          <w:i w:val="1"/>
          <w:iCs w:val="1"/>
          <w:color w:val="auto"/>
        </w:rPr>
        <w:t>U.S. Drug Approval Process</w:t>
      </w:r>
    </w:p>
    <w:p>
      <w:pPr>
        <w:spacing w:after="0" w:line="104"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To obtain FDA approval of a product candidate, we must, among other things, submit clinical data providing substantial evidence of safety and efficacy of the product for its intended use, as well as detailed information on product composition, its manufacture and controls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steps required before a drug may be approved for marketing in the U.S. generally include the following:</w:t>
      </w:r>
    </w:p>
    <w:p>
      <w:pPr>
        <w:spacing w:after="0" w:line="104" w:lineRule="exact"/>
        <w:rPr>
          <w:sz w:val="20"/>
          <w:szCs w:val="20"/>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laboratory tests and animal toxicity testing;</w:t>
      </w:r>
    </w:p>
    <w:p>
      <w:pPr>
        <w:spacing w:after="0" w:line="103"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of an IND for conducting human clinical testing to the FDA, which must become effective before human clinical trials commence;</w:t>
      </w:r>
    </w:p>
    <w:p>
      <w:pPr>
        <w:spacing w:after="0" w:line="62" w:lineRule="exact"/>
        <w:rPr>
          <w:rFonts w:ascii="Arial" w:cs="Arial" w:eastAsia="Arial" w:hAnsi="Arial"/>
          <w:sz w:val="18"/>
          <w:szCs w:val="18"/>
          <w:color w:val="auto"/>
        </w:rPr>
      </w:pPr>
    </w:p>
    <w:p>
      <w:pPr>
        <w:ind w:left="1260" w:right="340" w:hanging="503"/>
        <w:spacing w:after="0" w:line="261"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by an Institutional Review Board (“IRB”) or independent ethics committee at each clinical trial site before each trial may be initiated;</w:t>
      </w:r>
    </w:p>
    <w:p>
      <w:pPr>
        <w:spacing w:after="0" w:line="62" w:lineRule="exact"/>
        <w:rPr>
          <w:rFonts w:ascii="Arial" w:cs="Arial" w:eastAsia="Arial" w:hAnsi="Arial"/>
          <w:sz w:val="18"/>
          <w:szCs w:val="18"/>
          <w:color w:val="auto"/>
        </w:rPr>
      </w:pPr>
    </w:p>
    <w:p>
      <w:pPr>
        <w:ind w:left="1260" w:right="240" w:hanging="503"/>
        <w:spacing w:after="0" w:line="291"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drug product for each indication, including controlled studies or comparison of treated group from clinical trials to data from natural history data or studies;</w:t>
      </w:r>
    </w:p>
    <w:p>
      <w:pPr>
        <w:spacing w:after="0" w:line="38" w:lineRule="exact"/>
        <w:rPr>
          <w:rFonts w:ascii="Arial" w:cs="Arial" w:eastAsia="Arial" w:hAnsi="Arial"/>
          <w:sz w:val="17"/>
          <w:szCs w:val="17"/>
          <w:color w:val="auto"/>
        </w:rPr>
      </w:pPr>
    </w:p>
    <w:p>
      <w:pPr>
        <w:ind w:left="1260" w:right="100" w:hanging="503"/>
        <w:spacing w:after="0" w:line="291"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submission of a complete and compliant marketing application containing chemistry, manufacturing and control information for the drug substance and drug product, reports of nonclinical and clinical trials, product labeling and administrative information;</w:t>
      </w:r>
    </w:p>
    <w:p>
      <w:pPr>
        <w:spacing w:after="0" w:line="38" w:lineRule="exact"/>
        <w:rPr>
          <w:rFonts w:ascii="Arial" w:cs="Arial" w:eastAsia="Arial" w:hAnsi="Arial"/>
          <w:sz w:val="17"/>
          <w:szCs w:val="17"/>
          <w:color w:val="auto"/>
        </w:rPr>
      </w:pPr>
    </w:p>
    <w:p>
      <w:pPr>
        <w:ind w:left="1260" w:right="240" w:hanging="503"/>
        <w:spacing w:after="0" w:line="261"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commercial manufacturing facilities at which the drug substance and drug product are made to assess compliance with cGMP;</w:t>
      </w:r>
    </w:p>
    <w:p>
      <w:pPr>
        <w:spacing w:after="0" w:line="49" w:lineRule="exact"/>
        <w:rPr>
          <w:rFonts w:ascii="Arial" w:cs="Arial" w:eastAsia="Arial" w:hAnsi="Arial"/>
          <w:sz w:val="18"/>
          <w:szCs w:val="18"/>
          <w:color w:val="auto"/>
        </w:rPr>
      </w:pPr>
    </w:p>
    <w:p>
      <w:pPr>
        <w:ind w:left="1260" w:right="120" w:hanging="503"/>
        <w:spacing w:after="0" w:line="246"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FDA audit of the clinical trial site(s) that generated the pivotal safety and efficacy data included in the marketing application and also potentially the nonclinical trial site(s) in the form of pre-approval inspections; and</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review and approval of the marketing application.</w:t>
      </w:r>
    </w:p>
    <w:p>
      <w:pPr>
        <w:spacing w:after="0" w:line="198" w:lineRule="exact"/>
        <w:rPr>
          <w:sz w:val="20"/>
          <w:szCs w:val="20"/>
          <w:color w:val="auto"/>
        </w:rPr>
      </w:pPr>
    </w:p>
    <w:p>
      <w:pPr>
        <w:ind w:right="40" w:firstLine="749"/>
        <w:spacing w:after="0" w:line="256" w:lineRule="auto"/>
        <w:rPr>
          <w:sz w:val="20"/>
          <w:szCs w:val="20"/>
          <w:color w:val="auto"/>
        </w:rPr>
      </w:pPr>
      <w:r>
        <w:rPr>
          <w:rFonts w:ascii="Arial" w:cs="Arial" w:eastAsia="Arial" w:hAnsi="Arial"/>
          <w:sz w:val="16"/>
          <w:szCs w:val="16"/>
          <w:color w:val="auto"/>
        </w:rPr>
        <w:t>Pre-clinical trials may include laboratory evaluations of the product chemistry, pharmacology, toxicity and formulation, as well as animal studies to assess the pharmacokinetics, metabolism, bio-distribution, elimination and toxicity of the product candidate. The conduct of the pre-clinical tests and formulation of the compounds for testing must comply with federal regulations and requirements. The results of the pre-clinical trials, manufacturing information, analytical data and a proposed first in human clinical trial protocol are submitted to the FDA as part of the IND, which must become effective before clinical trials may be initiated. The IND will become effective 30 days after receipt by the FDA, unless the FDA raises concerns or questions about the supportive data, or the study design, particularly regarding potential safety issues with conducting the clinical trial as described in the protocol. In this situation, the trials are placed on clinical hold and the IND sponsor must resolve any outstanding FDA concerns before clinical trials can proceed.</w:t>
      </w:r>
    </w:p>
    <w:p>
      <w:pPr>
        <w:spacing w:after="0" w:line="165" w:lineRule="exact"/>
        <w:rPr>
          <w:sz w:val="20"/>
          <w:szCs w:val="20"/>
          <w:color w:val="auto"/>
        </w:rPr>
      </w:pPr>
    </w:p>
    <w:p>
      <w:pPr>
        <w:ind w:firstLine="749"/>
        <w:spacing w:after="0" w:line="236"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 participants under the supervision of a qualified principal investigator. Clinical trials are conducted under protocols detailing the objectives of the study, the administration of the investigational product, subject selection and exclusion criteria, study procedures, parameters to be used in monitoring safety and the effectiveness criteria to be evaluated. Each protocol must be submitted to the FDA as a submission to the IND. Clinical trials must be conducted and monitored in accordance with the FDA’s Good Clinical Practice (“GCP”) requirements and federal and state laws and regulations protecting study subjects. Further, each clinical trial must be reviewed and approved by the Institutional Review Board (“IRB”) at or servicing each institution in which the clinical trial will be conducted. The IRB will consider, among other things, rationale for conducting the trial, clinical trial design, participant informed consent, ethical factors, the safety and rights of human subjects and the possible liability of the institution. The FDA can temporarily or permanently halt a clinical trial at any time, or impose other sanctions, if it believes that the clinical trial is not being conducted in accordance with FDA requirements or presents an unacceptable risk to the clinical trial subjects. The IRB may also require the clinical trial at a particular site be halted, either temporarily or permanently, for failure to comply with GCP or the IRB’s requirements, or may impose other conditions.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0" w:name="page21"/>
    <w:bookmarkEnd w:id="20"/>
    <w:p>
      <w:pPr>
        <w:ind w:right="60" w:firstLine="749"/>
        <w:spacing w:after="0" w:line="246" w:lineRule="auto"/>
        <w:rPr>
          <w:sz w:val="20"/>
          <w:szCs w:val="20"/>
          <w:color w:val="auto"/>
        </w:rPr>
      </w:pPr>
      <w:r>
        <w:rPr>
          <w:rFonts w:ascii="Arial" w:cs="Arial" w:eastAsia="Arial" w:hAnsi="Arial"/>
          <w:sz w:val="17"/>
          <w:szCs w:val="17"/>
          <w:color w:val="auto"/>
        </w:rPr>
        <w:t>Clinical trials typically are conducted in three sequential drug development phases (Phases 1, 2 and 3) prior to approval, and a portion of these phases may overlap. A fourth post-approval phase (Phase 4) may include additional clinical trials. A general description of clinical trials conducted in each phase of development is provided below. However, the number of study subjects involved in each phase of drug development for rare diseases can be significantly less than typically expected for more common diseases with larger patient populations:</w:t>
      </w:r>
    </w:p>
    <w:p>
      <w:pPr>
        <w:spacing w:after="0" w:line="63" w:lineRule="exact"/>
        <w:rPr>
          <w:sz w:val="20"/>
          <w:szCs w:val="20"/>
          <w:color w:val="auto"/>
        </w:rPr>
      </w:pPr>
    </w:p>
    <w:p>
      <w:pPr>
        <w:ind w:left="1260" w:right="20" w:hanging="503"/>
        <w:spacing w:after="0" w:line="266" w:lineRule="auto"/>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Phase 1. Phase 1 clinical trials involve the initial introduction of the drug into human subjects. These studies are usually designed to determine the safety of single and multiple doses of the compound and determine any dose limiting toxicities or intolerance, as well as the metabolism and pharmacokinetics of the drug in humans. Phase 1 studies usually involve less than 100 subjects and are conducted in healthy adult volunteers, unless it is unethical to administer the study drug to healthy volunteers, in which case they are tested in patients.</w:t>
      </w:r>
    </w:p>
    <w:p>
      <w:pPr>
        <w:spacing w:after="0" w:line="48" w:lineRule="exact"/>
        <w:rPr>
          <w:rFonts w:ascii="Arial" w:cs="Arial" w:eastAsia="Arial" w:hAnsi="Arial"/>
          <w:sz w:val="16"/>
          <w:szCs w:val="16"/>
          <w:color w:val="auto"/>
        </w:rPr>
      </w:pPr>
    </w:p>
    <w:p>
      <w:pPr>
        <w:jc w:val="both"/>
        <w:ind w:left="1260" w:right="220" w:hanging="503"/>
        <w:spacing w:after="0" w:line="253"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2. Phase 2 clinical trials are usually conducted in a limited patient population to evaluate the safety and efficacy of the drug for a specific indication to determine optimal dosage and to identify possible adverse effects and safety risks. Phase 2 studies usually involve patients with the disease under investigation and may vary in size from several dozen to several hundred.</w:t>
      </w:r>
    </w:p>
    <w:p>
      <w:pPr>
        <w:spacing w:after="0" w:line="56" w:lineRule="exact"/>
        <w:rPr>
          <w:rFonts w:ascii="Arial" w:cs="Arial" w:eastAsia="Arial" w:hAnsi="Arial"/>
          <w:sz w:val="17"/>
          <w:szCs w:val="17"/>
          <w:color w:val="auto"/>
        </w:rPr>
      </w:pPr>
    </w:p>
    <w:p>
      <w:pPr>
        <w:ind w:left="1260" w:right="20" w:hanging="503"/>
        <w:spacing w:after="0" w:line="238"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3. If an investigational drug is found to be potentially effective and to have an acceptable safety profile in early phase studies, larger Phase 3 clinical trials are conducted to confirm clinical efficacy, dosage and safety in the intended patient population, which may involve geographically dispersed clinical trial sites. Generally, two adequate and well-controlled Phase 3 clinical trials which establish the safety and efficacy of the drug for a specific indication are required for approval of a marketing application. Phase 3 studies usually include several hundred to several thousand patients for larger, non-orphan drug indications/diseases. However, clinical trials for rare or orphan diseases generally have fewer patients due to their lower prevalence. For these orphan diseases, a company may also try to demonstrate efficacy and safety by comparing treated patients in clinical trials to untreated patients participating in placebo-controlled clinical trials or to observational natural history studies.</w:t>
      </w:r>
    </w:p>
    <w:p>
      <w:pPr>
        <w:spacing w:after="0" w:line="82" w:lineRule="exact"/>
        <w:rPr>
          <w:rFonts w:ascii="Arial" w:cs="Arial" w:eastAsia="Arial" w:hAnsi="Arial"/>
          <w:sz w:val="17"/>
          <w:szCs w:val="17"/>
          <w:color w:val="auto"/>
        </w:rPr>
      </w:pPr>
    </w:p>
    <w:p>
      <w:pPr>
        <w:ind w:left="1260" w:hanging="503"/>
        <w:spacing w:after="0" w:line="257"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4. Phase 4 trials are clinical trials conducted after the FDA has approved a product for marketing. Typically, there are two forms of Phase 4 trials: those that are conducted to fulfill mandatory conditions of product approval and those that are voluntarily conducted to gain additional experience from the treatment of patients in the intended therapeutic indication. The mandatory studies are used to confirm clinical benefit in the case of drugs approved under the accelerated approval regulations or to provide additional clinical safety or efficacy data for “full” approvals. Failure to promptly conduct and complete mandatory Phase 4 clinical trials could result in withdrawal of approval for products approved under accelerated approval regulations.</w:t>
      </w:r>
    </w:p>
    <w:p>
      <w:pPr>
        <w:spacing w:after="0" w:line="175" w:lineRule="exact"/>
        <w:rPr>
          <w:sz w:val="20"/>
          <w:szCs w:val="20"/>
          <w:color w:val="auto"/>
        </w:rPr>
      </w:pPr>
    </w:p>
    <w:p>
      <w:pPr>
        <w:ind w:right="20" w:firstLine="749"/>
        <w:spacing w:after="0" w:line="267" w:lineRule="auto"/>
        <w:rPr>
          <w:sz w:val="20"/>
          <w:szCs w:val="20"/>
          <w:color w:val="auto"/>
        </w:rPr>
      </w:pPr>
      <w:r>
        <w:rPr>
          <w:rFonts w:ascii="Arial" w:cs="Arial" w:eastAsia="Arial" w:hAnsi="Arial"/>
          <w:sz w:val="16"/>
          <w:szCs w:val="16"/>
          <w:color w:val="auto"/>
        </w:rPr>
        <w:t>A company seeking marketing approval for a new drug in the U.S. must submit the results of the pre-clinical and clinical trials to the FDA in the form of a marketing application, together with, among other things, detailed information on the manufacture and composition of the product candidate and proposed labeling, including payment of a user fee for FDA review of the application. The user fee is waived for an application for a product intended to treat an Orphan Indication. The FDA assesses all submitted marketing applications for completeness before it accepts them for filing. In some cases, the FDA may request additional information before accepting a marketing application for filing. Once the submission is accepted for filing, the FDA begins an in-depth review of the marketing application. Applications receive either standard or priority review. Under the current goals mandated under the Prescription Drug User Fee Act (the “PDUFA”), the FDA has ten months in which to complete its initial review of a standard marketing application and respond to the applicant, and six months for a priority marketing application. The FDA does not always meet its PDUFA goal dates for standard or priority marketing applications. The review process and the PDUFA goal date may be extended by three months if the FDA requests or the marketing application sponsor otherwise provides additional information or clarification regarding information already provided in the submission within the last three months before the PDUFA goal date. The FDA may refer an application to an advisory committee for review, evaluation and recommendation as to whether the application should be approved. Though the FDA is not bound by such recommendations, it considers them carefully when making decisions. If the FDA’s evaluations of the marketing application and the clinical and manufacturing procedures and facilities are favorable, the FDA may issue an approval letter. If the FDA finds deficiencies in the marketing application, it may issue a complete response letter, which defines the conditions that must be met in order to secure final approval of the marketing application. If and when those conditions have been met to the FDA’s satisfaction, the FDA will issue an approval letter, authorizing commercial marketing of the drug. Sponsors that receive a complete response letter may submit to the FDA information that represents a complete response to the issues identified by the FDA. Resubmissions by the marketing application sponsor in response to a complete response letter trigger new review periods of varying length (typically two to six months) based on the content of the resubmission. If the FDA’s evaluation of the marketing application and the commercial manufacturing procedures and facilities is not favorable, the FDA may not approve the marketing application.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ind w:firstLine="749"/>
        <w:spacing w:after="0" w:line="257" w:lineRule="auto"/>
        <w:rPr>
          <w:sz w:val="20"/>
          <w:szCs w:val="20"/>
          <w:color w:val="auto"/>
        </w:rPr>
      </w:pPr>
      <w:r>
        <w:rPr>
          <w:rFonts w:ascii="Arial" w:cs="Arial" w:eastAsia="Arial" w:hAnsi="Arial"/>
          <w:sz w:val="17"/>
          <w:szCs w:val="17"/>
          <w:color w:val="auto"/>
        </w:rPr>
        <w:t>A sponsor may also seek designation of its drug candidates under programs designed to accelerate the FDA’s review and potential approval of marketing applications. For instance, a sponsor may seek FDA designation of a drug candidate as a “fast track product.” Fast track products are those products intended for the treatment of a serious or life-threatening disease or condition and which demonstrate the potential to address unmet medical needs for such disease or condition. If fast track designation is obtained, the FDA may initiate early and frequent communication and begin reviewing sections of a marketing application before the application is complete. This “rolling review” is available if the applicant provides, and the FDA approves, a schedule for the remaining information. Eteplirsen was granted fast track status in 2007.</w:t>
      </w:r>
    </w:p>
    <w:p>
      <w:pPr>
        <w:spacing w:after="0" w:line="175"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The Food and Drug Administration Safety and Innovation Act (“FDASIA”) enacted and signed into law in 2012 amended the criteria for the fast track and accelerated approval pathways and, as a result, the pathways now share many common eligibility criteria. FDASIA provides both the sponsor companies and the FDA with greater flexibility and expedited regulatory mechanisms. The statute clarifies that a fast track product may be approved pursuant to an accelerated approval (Subpart – H) or under the traditional approval process. In addition, FDASIA codified the accelerated approval pathway as separate and apart from the fast track pathway, meaning that for drugs to be eligible for accelerated approval, they do not need to be designated under the fast track pathway. FDASIA reinforces the FDA’s authority to grant accelerated approval of a drug that treats a serious condition and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Approvals of this kind typically include requirements for appropriate post-approval Phase 4 clinical trials to confirm clinical benefit. FDASIA retains this requirement and further requires those studies to verify and describe the predicted effect on irreversible morbidity or mortality or other clinical benefit.</w:t>
      </w:r>
    </w:p>
    <w:p>
      <w:pPr>
        <w:spacing w:after="0" w:line="186" w:lineRule="exact"/>
        <w:rPr>
          <w:sz w:val="20"/>
          <w:szCs w:val="20"/>
          <w:color w:val="auto"/>
        </w:rPr>
      </w:pPr>
    </w:p>
    <w:p>
      <w:pPr>
        <w:ind w:right="100" w:firstLine="749"/>
        <w:spacing w:after="0" w:line="274" w:lineRule="auto"/>
        <w:rPr>
          <w:sz w:val="20"/>
          <w:szCs w:val="20"/>
          <w:color w:val="auto"/>
        </w:rPr>
      </w:pPr>
      <w:r>
        <w:rPr>
          <w:rFonts w:ascii="Arial" w:cs="Arial" w:eastAsia="Arial" w:hAnsi="Arial"/>
          <w:sz w:val="16"/>
          <w:szCs w:val="16"/>
          <w:color w:val="auto"/>
        </w:rPr>
        <w:t>Additionally, FDASIA established a new, expedited regulatory mechanism referred to as breakthrough therapy designation. Breakthrough therapy designation, fast track, and accelerated approval are not mutually exclusive and are meant to serve different purposes. The breakthrough therapy designation is focused on expediting the development and review process and by itself does not create an alternate ground for product approval. A sponsor may seek FDA designation of a drug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FDA issued guidance entitled “Expedited Programs for Serious Conditions––Drugs and Biologics” in May 2014.</w:t>
      </w:r>
    </w:p>
    <w:p>
      <w:pPr>
        <w:spacing w:after="0" w:line="163"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Finally, if a drug candidate demonstrates a significant benefit over existing therapy, it may be eligible for priority review, which means it will be reviewed within a six-month timeframe from the date a complete marketing application is accepted for filing. A Regenerative Medicine Advanced Therapy (“RMAT”) designation is also designed to accelerate approval for regenerative advanced therapies such as our gene therapy product candidates, but the exact mechanisms have not yet been announced by FDA.</w:t>
      </w:r>
    </w:p>
    <w:p>
      <w:pPr>
        <w:spacing w:after="0" w:line="188"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8"/>
          <w:szCs w:val="18"/>
          <w:color w:val="auto"/>
        </w:rPr>
        <w:t>We cannot be sure that any of our drug candidates will qualify for any of these expedited development, review and approval programs, or that, if a drug does qualify, that the product candidates will be approved, will be accepted as part of any such program or that the review time will be shorter than a standard review.</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Holders of an approved marketing application are required to:</w:t>
      </w:r>
    </w:p>
    <w:p>
      <w:pPr>
        <w:spacing w:after="0" w:line="104" w:lineRule="exact"/>
        <w:rPr>
          <w:sz w:val="20"/>
          <w:szCs w:val="20"/>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 serious adverse drug reactions to the FDA;</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 annual and periodic reports summarizing product information and safety data;</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requirements concerning advertising and promotional labeling;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have quality control and manufacturing procedures conform to cGMP after approval;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any post-marketing study designated as a required condition of the marketing application approval.</w:t>
      </w:r>
    </w:p>
    <w:p>
      <w:pPr>
        <w:spacing w:after="0" w:line="212" w:lineRule="exact"/>
        <w:rPr>
          <w:sz w:val="20"/>
          <w:szCs w:val="20"/>
          <w:color w:val="auto"/>
        </w:rPr>
      </w:pPr>
    </w:p>
    <w:p>
      <w:pPr>
        <w:ind w:right="300" w:firstLine="749"/>
        <w:spacing w:after="0" w:line="262" w:lineRule="auto"/>
        <w:rPr>
          <w:sz w:val="20"/>
          <w:szCs w:val="20"/>
          <w:color w:val="auto"/>
        </w:rPr>
      </w:pPr>
      <w:r>
        <w:rPr>
          <w:rFonts w:ascii="Arial" w:cs="Arial" w:eastAsia="Arial" w:hAnsi="Arial"/>
          <w:sz w:val="17"/>
          <w:szCs w:val="17"/>
          <w:color w:val="auto"/>
        </w:rPr>
        <w:t>The FDA periodically inspects the sponsor’s records related to safety reporting and/or manufacturing; this latter effort includes assessment of compliance with cGMP. Accordingly, manufacturers must continue to expend time, money and effort in the area of production and quality control to maintain cGMP compliance. Discovery of problems with a product after approval may result in restrictions on a product, manufacturer, or holder of an approved marketing application, including withdrawal of the product from the market.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Foreign Regulatory Requirements</w:t>
      </w:r>
    </w:p>
    <w:p>
      <w:pPr>
        <w:spacing w:after="0" w:line="90" w:lineRule="exact"/>
        <w:rPr>
          <w:sz w:val="20"/>
          <w:szCs w:val="20"/>
          <w:color w:val="auto"/>
        </w:rPr>
      </w:pPr>
    </w:p>
    <w:p>
      <w:pPr>
        <w:ind w:right="40" w:firstLine="749"/>
        <w:spacing w:after="0" w:line="231" w:lineRule="auto"/>
        <w:rPr>
          <w:sz w:val="20"/>
          <w:szCs w:val="20"/>
          <w:color w:val="auto"/>
        </w:rPr>
      </w:pPr>
      <w:r>
        <w:rPr>
          <w:rFonts w:ascii="Arial" w:cs="Arial" w:eastAsia="Arial" w:hAnsi="Arial"/>
          <w:sz w:val="18"/>
          <w:szCs w:val="18"/>
          <w:color w:val="auto"/>
        </w:rPr>
        <w:t>In November 2016, we submitted a marketing authorization application (“MAA”) for eteplirsen to the EMA and the application was validated in December 2016. As we announced on June 1, 2018, the Committee for Medicinal Products for Human Use (“CHMP”) within the EMA adopted a negative opinion for eteplirsen. In September 2018, the CHMP confirmed its negative opinion for eteplirsen, and the European Commission adopted the CHMP opinion in December 2018.</w:t>
      </w:r>
    </w:p>
    <w:p>
      <w:pPr>
        <w:spacing w:after="0" w:line="67" w:lineRule="exact"/>
        <w:rPr>
          <w:sz w:val="20"/>
          <w:szCs w:val="20"/>
          <w:color w:val="auto"/>
        </w:rPr>
      </w:pPr>
    </w:p>
    <w:p>
      <w:pPr>
        <w:ind w:right="40" w:firstLine="749"/>
        <w:spacing w:after="0" w:line="274" w:lineRule="auto"/>
        <w:rPr>
          <w:sz w:val="20"/>
          <w:szCs w:val="20"/>
          <w:color w:val="auto"/>
        </w:rPr>
      </w:pPr>
      <w:r>
        <w:rPr>
          <w:rFonts w:ascii="Arial" w:cs="Arial" w:eastAsia="Arial" w:hAnsi="Arial"/>
          <w:sz w:val="17"/>
          <w:szCs w:val="17"/>
          <w:color w:val="auto"/>
        </w:rPr>
        <w:t>As of the date of this Annual Report, EXONDYS 51, VYONDYS 53 and AMONDYS 45 have only been approved for sale and marketing in the U.S. by the FDA, and EXONDYS 51 has been approved in addition for sale and marketing in Israel by the Israeli Ministry of Health.</w:t>
      </w:r>
    </w:p>
    <w:p>
      <w:pPr>
        <w:spacing w:after="0" w:line="40" w:lineRule="exact"/>
        <w:rPr>
          <w:sz w:val="20"/>
          <w:szCs w:val="20"/>
          <w:color w:val="auto"/>
        </w:rPr>
      </w:pPr>
    </w:p>
    <w:p>
      <w:pPr>
        <w:ind w:firstLine="749"/>
        <w:spacing w:after="0" w:line="236" w:lineRule="auto"/>
        <w:rPr>
          <w:sz w:val="20"/>
          <w:szCs w:val="20"/>
          <w:color w:val="auto"/>
        </w:rPr>
      </w:pPr>
      <w:r>
        <w:rPr>
          <w:rFonts w:ascii="Arial" w:cs="Arial" w:eastAsia="Arial" w:hAnsi="Arial"/>
          <w:sz w:val="17"/>
          <w:szCs w:val="17"/>
          <w:color w:val="auto"/>
        </w:rPr>
        <w:t>Thus, in addition to regulations in the U.S., our business is subject to a variety of foreign regulations governing clinical trials and commercial sales and distribution of our products. Irrespective of whether it concerns an FDA approved or investigational drug, the commencement of clinical trials and the subsequent marketing of a drug product in foreign countries are subject to preliminary approvals from the corresponding regulatory authorities of such countries. For example, until the entry into application of the Clinical Trial Regulation 536/2014 and the end of the transition period (see below) the conduct of clinical trials in the EU is still governed by the Clinical Trials Directive 2001/20/EC and Directive 2005/28/EC laying down the requirements for the conduct of clinical trials in the EU and the principles and guidelines on GCP. Both Directives provide a system for the approval of clinical trials, which has been implemented through national legislation in the member states of the EU (“EU Member States”). Under this system, a sponsor must obtain approval from the competent national authority of an EU Member State in which the clinical trial is to be conducted, or in multiple EU Member States if the clinical trial is to be conducted in a number of countries. Furthermore, the sponsor may only start a clinical trial at a specific study site after the competent ethics committee has issued a favorable opinion. The Clinical Trials Application (“CTA”) must include the supporting information prescribed by Directive 2001/20/EC and Directive 2005/28/EC, corresponding national laws of the EU Member States, and as further detailed in the applicable guidance documents.</w:t>
      </w:r>
    </w:p>
    <w:p>
      <w:pPr>
        <w:spacing w:after="0" w:line="69" w:lineRule="exact"/>
        <w:rPr>
          <w:sz w:val="20"/>
          <w:szCs w:val="20"/>
          <w:color w:val="auto"/>
        </w:rPr>
      </w:pPr>
    </w:p>
    <w:p>
      <w:pPr>
        <w:ind w:right="20" w:firstLine="749"/>
        <w:spacing w:after="0" w:line="249" w:lineRule="auto"/>
        <w:rPr>
          <w:sz w:val="20"/>
          <w:szCs w:val="20"/>
          <w:color w:val="auto"/>
        </w:rPr>
      </w:pPr>
      <w:r>
        <w:rPr>
          <w:rFonts w:ascii="Arial" w:cs="Arial" w:eastAsia="Arial" w:hAnsi="Arial"/>
          <w:sz w:val="16"/>
          <w:szCs w:val="16"/>
          <w:color w:val="auto"/>
        </w:rPr>
        <w:t>In April 2014, the EU adopted a new Clinical Trials Regulation (EU) No 536/2014 to replace the current Clinical Trials Directive 2001/20/EC. Although the new Clinical Trials Regulation had been adopted and had entered into force in 2014, it would only come into application in the EU Member States six months after the EC has confirmed the functionality of the new Clinical Trials Information System (“CTIS”), which includes the centralized EU portal and database for clinical trials introduced by the Regulation. On July 31, 2021, the EC published a notice in the Official Journal of the European Union, confirming full functionality of the EU portal and database. The Regulation will hence enter into application on January 31, 2022. When the Regulation enters into application, it will repeal the currently applicable Clinical Trials Directive 2001/20/EC and its national implementation legislations. It will also apply to clinical trials that were authorized under the previous legislation if they are still ongoing three years after the Regulation has come into operation. There is a three-year transition period after entry into application of the Clinical Trials Regulation. During the first year, until January 31, 2023, sponsors of clinical trials will be able to choose whether to file a CTA under the regime of the Directive, using the EudraCT, or under the Regulation, using the CTIS. As of the second year, all new CTAs must be submitted under the Clinical Trials Regulation, via the CTIS. Clinical trials that were submitted under the Directive prior to January 31, 2023, will be allowed to continue under the old regime until the end of the transition period, but sponsors may also opt to transition ongoing trials on a voluntary basis. By January 31, 2025, all clinical trials that had been authorized under the Directive, must either have ended in the EU and European Economic Area (the “EEA”), or have been transitioned to the new regime. No legislation needs to be adopted to implement the new Regulation into national EU Member State law. The new Regulation provides an overhaul of the system, in order to harmonize the assessment of the submission and assessment of clinical trials conducted in EU Member States and to ensure greater consistency with the highest standards of patient safety in the EU. Specifically, the new legislation seeks to simplify and streamline approval of the clinical trials. Under the new coordinated procedure, the sponsor of a clinical trial is required to submit a single application to a reporting EU Member State via the centralized EU portal in the CTIS. The reporting EU Member State will consult and coordinate with all other EU Member States in which the clinical trial is planned to be conducted. If the application is rejected, it can be amended and resubmitted through the central EU portal in the CTIS. If an approval is issued, the sponsor can start the clinical trial in all EU Member States concerned. However, an EU Member State can in certain cases declare an “opt-out” from the approval. In such a case, the clinical trial cannot be conducted in such EU Member State(s). The Clinical Trials Regulation also aims to streamline and simplify the rules on safety reporting for clinical trials.</w:t>
      </w:r>
    </w:p>
    <w:p>
      <w:pPr>
        <w:spacing w:after="0" w:line="271"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In order to obtain marketing authorization for a medicinal product in the EU, applicants are required to submit a MAA to either (a) the national competent authorities (through the decentralized, mutual recognition, or national procedures) or (b) the EMA (through the centralized authorization procedure). Applicants are required to demonstrate the quality, safety and efficacy of the medicinal product in the application for marketing authorization, which implies the requirement to conduct human clinical trials to generate the necessary clinical data. Furthermore, all applications for marketing authorization for new medicines have to include the results of studies as described in an agreed pediatric investigation plan (“PIP”) aimed at ensuring that the necessary data are obtained through studies in children, unless the medicine is exempt because of a deferral or waiver. Deferrals allow an applicant to delay development of the medicine in children until, for instance, there is enough information to demonstrate its effectiveness and safety in adults. Waivers, on the other hand, may be granted when the development of a medicine in children is not needed or is not appropriate, such as for diseases that only affect the adult population. Regulation (EC) No 726/2004 of the European Parliament and of the Council lays down the rules applicable to the centralized procedure for the authorization of medicinal products. The centralized procedure allows pharmaceutical companies to submit a single application to the EMA, which is followed by a single evaluation and which results in a single approval to market the medicinal product throughout the EEA, on the basis of a single market authorization. Approval via the centralized procedure is a two-step process whereby the CHMP first evaluates the MAA and issues an opinion 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7"/>
          <w:szCs w:val="17"/>
          <w:color w:val="auto"/>
        </w:rPr>
        <w:t>whether the medicinal product may be authorized or not (step 1). The CHMP opinion is subsequently sent to the EC, which takes a legally binding decision to grant a marketing authorization (step 2). The marketing authorization is valid throughout the EU and is automatically recognized in three of the four European Free Trade Association states (Iceland, Liechtenstein and Norway). This allows the marketing authorization holder to market the medicine and make it available throughout the EEA. The timeframe for the first step of the centralized procedure (evaluation by the CHMP) opinion is 210 days from receipt of a valid application. However, the actual time needed to complete this first step is generally longer than the 210 days, since procedural clock stops are required in order for the applicant to respond to additional requests for information by the CHMP. Following a positive CHMP opinion, the EC has 67 days to issue its decision to grant the marketing authorization or not.</w:t>
      </w:r>
    </w:p>
    <w:p>
      <w:pPr>
        <w:spacing w:after="0" w:line="72" w:lineRule="exact"/>
        <w:rPr>
          <w:sz w:val="20"/>
          <w:szCs w:val="20"/>
          <w:color w:val="auto"/>
        </w:rPr>
      </w:pPr>
    </w:p>
    <w:p>
      <w:pPr>
        <w:ind w:right="120" w:firstLine="749"/>
        <w:spacing w:after="0" w:line="276" w:lineRule="auto"/>
        <w:rPr>
          <w:sz w:val="20"/>
          <w:szCs w:val="20"/>
          <w:color w:val="auto"/>
        </w:rPr>
      </w:pPr>
      <w:r>
        <w:rPr>
          <w:rFonts w:ascii="Arial" w:cs="Arial" w:eastAsia="Arial" w:hAnsi="Arial"/>
          <w:sz w:val="16"/>
          <w:szCs w:val="16"/>
          <w:color w:val="auto"/>
        </w:rPr>
        <w:t>Accelerated evaluation of the MAA under the centralized procedure is possible in exceptional cases, following a justified request from the applicant, when a medicinal product is of a major public health interest, particularly from the point of view of therapeutic innovation. The CHMP determines what constitutes a major public interest on a case-by-case basis. Justifications must include the major benefits expected and present the arguments to support the claim that the medicinal product introduces new methods of therapy or improves on existing methods, thereby addressing, to a significant extent, the greater unmet needs for maintaining and improving public health. If the applicant provides sufficient justification for an accelerated assessment, the CHMP can reduce the timeframe for review of a MAA to 150 days. The timeframe for the EC to issue its decision remains unaltered.</w:t>
      </w:r>
    </w:p>
    <w:p>
      <w:pPr>
        <w:spacing w:after="0" w:line="53"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Article 3 of Regulation (EC) No 726/2004 defines in which cases the centralized application procedure must (mandatory scope) or may (optional scope) be followed. The centralized procedure is mandatory for medicinal products derived from biotechnological and other high-tech processes, orphan medicinal products, advanced therapy medicinal products and products indicated for the treatment of HIV/AIDS, cancer, diabetes, auto-immune and other immune dysfunctions, viral diseases and neurodegenerative diseases. For medicinal products that do not fall under any of the aforementioned categories, a submission via the centralized procedure is possible, provided that it concerns (i) a new active substance or (ii) product that can demonstrate a significant therapeutic, scientific or technical innovation and for which approval would be in the interest of public health. Given the foregoing, our portfolio of innovative orphan products for neurodegenerative diseases is subject to the mandatory centralized procedure.</w:t>
      </w:r>
    </w:p>
    <w:p>
      <w:pPr>
        <w:spacing w:after="0" w:line="55"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Innovative medicinal products which have been authorized in accordance with the centralized procedure, benefit from an eight-year period of data protection/exclusivity and a ten-year period of marketing protection/exclusivity. During the data exclusivity period, applicants for approval of generics of these innovative products cannot reference or rely upon data contained in the marketing authorization dossier submitted for the innovative medicinal product. Furthermore, the marketing protection entails that even if the generic product is approved, it cannot be placed on the market until the full ten-year period of market protection has elapsed from the initial authorization of the reference medicinal product. The marketing protection period can be extended to a maximum of eleven years if, during the first eight years of those ten years, the marketing authorization holder for the innovative product obtains an authorization for one or more new therapeutic indications which, during the scientific evaluation prior to their authorization, are held to bring a significant clinical benefit in comparison with existing therapies.</w:t>
      </w:r>
    </w:p>
    <w:p>
      <w:pPr>
        <w:spacing w:after="0" w:line="7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Similar to the U.S., marketing authorization holders and manufacturers of medicinal products are subject to comprehensive regulatory oversight by the EMA and/or the national competent authorities of the EU Member States. This oversight applies both before and after the granting of manufacturing and marketing authorizations. It includes compliance with EU GMP and GDP rules in relation to such activities as distribution, importing and exporting of medicinal products, rules governing conduct of pharmacovigilance (including good pharmacovigilance practices (“GVP”)) and requirements governing advertising, promotion and sale of medicinal products.</w:t>
      </w:r>
    </w:p>
    <w:p>
      <w:pPr>
        <w:spacing w:after="0" w:line="81"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Failure to comply with the EU Member State laws implementing the EU Community Code on medicinal products, and EU rules governing the promotion of medicinal products, interactions with physicians, misleading and comparative advertising and unfair commercial practices, with the EU Member State laws that apply to the promotion of medicinal products, statutory health insurance, bribery and anti-corruption or with other applicable regulatory requirements can result in enforcement action by the relevant EU Member State authorities. This may include any of the following sanctions: fines, imprisonment, orders forfeiting products or prohibiting or suspending their supply to the market, orders to suspend, vary, or withdraw the marketing authorization or requiring the manufacturer to issue public warnings, or to conduct a product recall.</w:t>
      </w:r>
    </w:p>
    <w:p>
      <w:pPr>
        <w:spacing w:after="0" w:line="67"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The approval process in other countries outside the U.S. and the EU varies from country to country, and the time may be longer or shorter than that required for the FDA approval. In addition, the requirements governing the conduct of clinical trials, product licensing, pricing and reimbursement for market access vary greatly from country to country. In all cases, clinical trials are conducted in accordance with GCP and the applicable regulatory requirements and the ethical principles that have their origin in the Declaration of Helsinki.</w:t>
      </w:r>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Data and Market Exclusivities</w:t>
      </w:r>
    </w:p>
    <w:p>
      <w:pPr>
        <w:spacing w:after="0" w:line="104" w:lineRule="exact"/>
        <w:rPr>
          <w:sz w:val="20"/>
          <w:szCs w:val="20"/>
          <w:color w:val="auto"/>
        </w:rPr>
      </w:pPr>
    </w:p>
    <w:p>
      <w:pPr>
        <w:ind w:right="660" w:firstLine="749"/>
        <w:spacing w:after="0" w:line="261" w:lineRule="auto"/>
        <w:rPr>
          <w:sz w:val="20"/>
          <w:szCs w:val="20"/>
          <w:color w:val="auto"/>
        </w:rPr>
      </w:pPr>
      <w:r>
        <w:rPr>
          <w:rFonts w:ascii="Arial" w:cs="Arial" w:eastAsia="Arial" w:hAnsi="Arial"/>
          <w:sz w:val="18"/>
          <w:szCs w:val="18"/>
          <w:color w:val="auto"/>
        </w:rPr>
        <w:t>In addition to patent exclusivities, the FDA and certain other foreign health authorities may grant data or market exclusivity for a newly approved chemical entity or biologic, which runs in parallel to any patent protection. Regulatory data protection or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4" w:name="page25"/>
    <w:bookmarkEnd w:id="24"/>
    <w:p>
      <w:pPr>
        <w:ind w:right="100"/>
        <w:spacing w:after="0" w:line="261" w:lineRule="auto"/>
        <w:rPr>
          <w:sz w:val="20"/>
          <w:szCs w:val="20"/>
          <w:color w:val="auto"/>
        </w:rPr>
      </w:pPr>
      <w:r>
        <w:rPr>
          <w:rFonts w:ascii="Arial" w:cs="Arial" w:eastAsia="Arial" w:hAnsi="Arial"/>
          <w:sz w:val="18"/>
          <w:szCs w:val="18"/>
          <w:color w:val="auto"/>
        </w:rPr>
        <w:t>exclusivity prevents a potential generic competitor from relying on clinical trial data generated by the sponsor when establishing the safety and efficacy of its competing product. Market exclusivity prohibits any marketing of the same drug for the same indication.</w:t>
      </w:r>
    </w:p>
    <w:p>
      <w:pPr>
        <w:spacing w:after="0" w:line="171"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In the U.S., the FDA will generally grant an NCE that is the subject of an NDA with five years of regulatory data exclusivity, during which time a competitor generally may not submit an application to the FDA based on a sponsor’s clinical data. A competitor, however, may file an Abbreviated New Drug Application (“ANDA”) seeking approval of a generic drug four years from the date of approval of the innovative product if it is accompanied by a so-called Paragraph IV certification. For a newly approved biologic that is the subject of a Biologics License Application (“BLA”), the FDA will generally grant 12 years of market exclusivity, during which time a competitor may not market the same drug for the same indication.</w:t>
      </w:r>
    </w:p>
    <w:p>
      <w:pPr>
        <w:spacing w:after="0" w:line="174"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In addition, the FDA may provide six months of pediatric exclusivity to a sponsor of a marketing application if the sponsor conducted a pediatric study or studies of a product. This process is applied to products developed for adult use and is initiated by the FDA as a written request for pediatric studies that applies to a sponsor’s product. If the sponsor conducts qualifying studies and the studies are accepted by the FDA, then an additional six months of pediatric exclusivity will be added to previously granted exclusivity, such as orphan drug exclusivity and NCE exclusivity, as well as certain patent-based exclusivities.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04" w:lineRule="exact"/>
        <w:rPr>
          <w:sz w:val="20"/>
          <w:szCs w:val="20"/>
          <w:color w:val="auto"/>
        </w:rPr>
      </w:pPr>
    </w:p>
    <w:p>
      <w:pPr>
        <w:ind w:right="100" w:firstLine="749"/>
        <w:spacing w:after="0" w:line="269" w:lineRule="auto"/>
        <w:rPr>
          <w:sz w:val="20"/>
          <w:szCs w:val="20"/>
          <w:color w:val="auto"/>
        </w:rPr>
      </w:pPr>
      <w:r>
        <w:rPr>
          <w:rFonts w:ascii="Arial" w:cs="Arial" w:eastAsia="Arial" w:hAnsi="Arial"/>
          <w:sz w:val="16"/>
          <w:szCs w:val="16"/>
          <w:color w:val="auto"/>
        </w:rPr>
        <w:t>In the U.S., the FDA may grant orphan drug designation to drugs intended to treat a rare disease or condition that affects fewer than 200,000 individuals in the U.S., or more than 200,000 individuals in the U.S. for which there is no reasonable expectation that the cost of developing and making available in the U.S. a drug for this type of disease or condition will be recovered from sales in the U.S. for that drug. An orphan drug designation must be requested before submitting an application for marketing approval. An orphan drug designation does not shorten the duration of the regulatory review and approval process. The approval of an orphan designation request does not alter the regulatory requirements and process for obtaining marketing approval. Safety and efficacy of a compound must be established through adequate and well-controlled studies. If a chemical or biological product which has an orphan drug designation subsequently receives FDA approval for the indication for which it has such designation, the product is generally entitled to an orphan drug exclusivity period of seven years, which means the FDA may not grant approval to any other application to market the same chemical or biological product for the same indication for a period of seven years, except in limited circumstances, such as where an alternative product demonstrates clinical superiority to the product with orphan exclusivity. In addition, holders of exclusivity for orphan drugs are expected to assure the availability of sufficient quantities of their orphan drugs to meet the needs of patients. Failure to do so could result in the withdrawal of orphan exclusivity for the drug. Competitors may receive approval of different drugs or biologics for the indications for which a prior approved orphan drug has exclusivity.</w:t>
      </w:r>
    </w:p>
    <w:p>
      <w:pPr>
        <w:spacing w:after="0" w:line="171"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Pharmaceutical companies can apply for the designation as an orphan medicine. In the EU, applications for orphan designation are evaluated by the EMA in accordance with Regulation (EC) No 141/2000. In order to qualify as an orphan medicine, the medicinal product must be intended to diagnose, prevent or treat a condition that is life-threatening or chronically debilitating, with a prevalence of no more than 5 in 10,000 people in the EU or for which it is unlikely that its sale would generate sufficient returns to justify the investment needed for its development. In addition, the sponsor is required to demonstrate that no satisfactory method of diagnosis, prevention or treatment of the condition has been be authorized in the EU or, if such method exists, the medicinal product is of significant benefit to those affected by the condition as compared to approved methods. The benefits of being granted orphan designation are significant, including up to ten years of market exclusivity. During this ten-year period, the EMA may not accept a new marketing application for a similar medicinal product for the same therapeutic indication as the approved orphan medicinal product. Pursuant to Regulation (EC)</w:t>
      </w:r>
    </w:p>
    <w:p>
      <w:pPr>
        <w:spacing w:after="0" w:line="4"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1901/2006 on medicinal products for pediatric use, the ten-year orphan market exclusivity can be extended to a maximum period of twelve years upon the satisfactory completion of all the key elements of the agreed PIP. We have been granted orphan drug designation for eteplirsen in the EU.</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Expanded / Early Access</w:t>
      </w:r>
    </w:p>
    <w:p>
      <w:pPr>
        <w:spacing w:after="0" w:line="104" w:lineRule="exact"/>
        <w:rPr>
          <w:sz w:val="20"/>
          <w:szCs w:val="20"/>
          <w:color w:val="auto"/>
        </w:rPr>
      </w:pPr>
    </w:p>
    <w:p>
      <w:pPr>
        <w:jc w:val="both"/>
        <w:ind w:right="160" w:firstLine="749"/>
        <w:spacing w:after="0" w:line="276" w:lineRule="auto"/>
        <w:rPr>
          <w:sz w:val="20"/>
          <w:szCs w:val="20"/>
          <w:color w:val="auto"/>
        </w:rPr>
      </w:pPr>
      <w:r>
        <w:rPr>
          <w:rFonts w:ascii="Arial" w:cs="Arial" w:eastAsia="Arial" w:hAnsi="Arial"/>
          <w:sz w:val="16"/>
          <w:szCs w:val="16"/>
          <w:color w:val="auto"/>
        </w:rPr>
        <w:t>In certain countries, drug products approved in the U.S. or the EU can be accessed by patients before the drug has obtained marketing approval in such country. There are various forms of this access including, but not limited to, the actual purchase of product by the purchaser, which is often times the government for patients, on a named patient basis, and providing the product free of charge on a named patient basis for compassionate use. Each</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country has its own laws and regulations that apply to these forms of access and the extent and nature of such laws and regulations vary by country. For example, in 2018, the so-called Right to Try Act became law in the U.S. The law, among other things, allows eligible patients to access certain investigational new drug products that have completed a Phase I clinical trial and that are undergoing investigation for FDA approval without enrolling in clinical trials and without obtaining FDA permission under the FDA expanded access program. There is no obligation for a pharmaceutical manufacturer to make its drug products available to such eligible patients as a result of the Right to Try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jc w:val="both"/>
        <w:ind w:right="160" w:firstLine="749"/>
        <w:spacing w:after="0" w:line="248" w:lineRule="auto"/>
        <w:rPr>
          <w:sz w:val="20"/>
          <w:szCs w:val="20"/>
          <w:color w:val="auto"/>
        </w:rPr>
      </w:pPr>
      <w:r>
        <w:rPr>
          <w:rFonts w:ascii="Arial" w:cs="Arial" w:eastAsia="Arial" w:hAnsi="Arial"/>
          <w:sz w:val="18"/>
          <w:szCs w:val="18"/>
          <w:color w:val="auto"/>
        </w:rPr>
        <w:t>We established a global EAP for eteplirsen, golodirsen and casimersen in some countries where eteplirsen, golodirsen and casimersen currently have not been approved. The EAP provides a mechanism through which physicians can prescribe our products, within their professional responsibility, to patients who meet pre-specified medical and other criteria and can secure funding.</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04"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In addition to regulations enforced by the FDA and foreign authorities relating to the clinical development and marketing of products, we are or may become subject to regulation under the Occupational Safety and Health Act, the Toxic Substances Control Act, the Resource Conservation and Recovery Act and other present and potential future foreign, federal, state and local laws and regulations. Although we believe that we are in material compliance with applicable environmental laws that apply to us, we cannot predict whether new regulatory restrictions will be imposed by state or federal regulators and agencies or whether existing laws and regulations will adversely affect us in the future. While it is impossible to accurately predict the future costs associated with environmental compliance and potential remediation activities, we understand the importance of complying with all current and future applicable environmental laws and regulations. Compliance with environmental laws is not expected to require significant capital expenditures and has not had, and is not expected to have, a material adverse effect on our operations.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04"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Violations of fraud and abuse laws may be punishable by crime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U.S. Given the broad scope of these laws, our activities could be subject to scrutiny under the laws. If we were subject to allegations concerning, or were convicted of violating, these laws, our business could be harmed.</w:t>
      </w:r>
    </w:p>
    <w:p>
      <w:pPr>
        <w:spacing w:after="0" w:line="55" w:lineRule="exact"/>
        <w:rPr>
          <w:sz w:val="20"/>
          <w:szCs w:val="20"/>
          <w:color w:val="auto"/>
        </w:rPr>
      </w:pPr>
    </w:p>
    <w:p>
      <w:pPr>
        <w:ind w:right="20" w:firstLine="749"/>
        <w:spacing w:after="0" w:line="272" w:lineRule="auto"/>
        <w:rPr>
          <w:sz w:val="20"/>
          <w:szCs w:val="20"/>
          <w:color w:val="auto"/>
        </w:rPr>
      </w:pPr>
      <w:r>
        <w:rPr>
          <w:rFonts w:ascii="Arial" w:cs="Arial" w:eastAsia="Arial" w:hAnsi="Arial"/>
          <w:sz w:val="16"/>
          <w:szCs w:val="16"/>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of up to $105,563 per violation and three times the amount of the unlawful remuneration. A claim arising from a violation of the federal Anti-Kickback Statute also constitutes a false or fraudulent claim for purposes of the FCA. A new federal anti-kickback statute enacted in 2018 prohibits certain payments related to referrals of patients to certain providers (such as clinical laboratories) and applies to services reimbursed by private health plans as well as government health care programs.</w:t>
      </w:r>
    </w:p>
    <w:p>
      <w:pPr>
        <w:spacing w:after="0" w:line="60" w:lineRule="exact"/>
        <w:rPr>
          <w:sz w:val="20"/>
          <w:szCs w:val="20"/>
          <w:color w:val="auto"/>
        </w:rPr>
      </w:pPr>
    </w:p>
    <w:p>
      <w:pPr>
        <w:ind w:right="60" w:firstLine="749"/>
        <w:spacing w:after="0" w:line="252" w:lineRule="auto"/>
        <w:rPr>
          <w:sz w:val="20"/>
          <w:szCs w:val="20"/>
          <w:color w:val="auto"/>
        </w:rPr>
      </w:pPr>
      <w:r>
        <w:rPr>
          <w:rFonts w:ascii="Arial" w:cs="Arial" w:eastAsia="Arial" w:hAnsi="Arial"/>
          <w:sz w:val="17"/>
          <w:szCs w:val="17"/>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False or fraudulent claims for purposes of the FCA carry fines and civil penalties for violations ranging from $11,803 to $23,607 for each false claim, plus up to three times the amount of damages sustained by the federal government and,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(“HHS”) Office of Inspector General has the authority to exclude from participation in federal health care programs or to impose civil penalties against any person who, among other things, knowingly presents, or causes to be presented, certain false or otherwise improper claims. A federal healthcare fraud statute prohibits the knowing and willful execution, or attempt to execute, a scheme to defraud a health care benefit program, including private health plans, or obtain, through false or fraudulent pretenses, money or property owned by, or under the custody or control of, such a health care benefit program.</w:t>
      </w:r>
    </w:p>
    <w:p>
      <w:pPr>
        <w:spacing w:after="0" w:line="78" w:lineRule="exact"/>
        <w:rPr>
          <w:sz w:val="20"/>
          <w:szCs w:val="20"/>
          <w:color w:val="auto"/>
        </w:rPr>
      </w:pPr>
    </w:p>
    <w:p>
      <w:pPr>
        <w:ind w:right="140" w:firstLine="749"/>
        <w:spacing w:after="0" w:line="324" w:lineRule="auto"/>
        <w:rPr>
          <w:sz w:val="20"/>
          <w:szCs w:val="20"/>
          <w:color w:val="auto"/>
        </w:rPr>
      </w:pPr>
      <w:r>
        <w:rPr>
          <w:rFonts w:ascii="Arial" w:cs="Arial" w:eastAsia="Arial" w:hAnsi="Arial"/>
          <w:sz w:val="16"/>
          <w:szCs w:val="16"/>
          <w:color w:val="auto"/>
        </w:rPr>
        <w:t>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w:t>
      </w:r>
    </w:p>
    <w:p>
      <w:pPr>
        <w:spacing w:after="0" w:line="111" w:lineRule="exact"/>
        <w:rPr>
          <w:sz w:val="20"/>
          <w:szCs w:val="20"/>
          <w:color w:val="auto"/>
        </w:rPr>
      </w:pPr>
    </w:p>
    <w:p>
      <w:pPr>
        <w:ind w:right="320" w:firstLine="749"/>
        <w:spacing w:after="0" w:line="227" w:lineRule="auto"/>
        <w:rPr>
          <w:sz w:val="20"/>
          <w:szCs w:val="20"/>
          <w:color w:val="auto"/>
        </w:rPr>
      </w:pPr>
      <w:r>
        <w:rPr>
          <w:rFonts w:ascii="Arial" w:cs="Arial" w:eastAsia="Arial" w:hAnsi="Arial"/>
          <w:sz w:val="18"/>
          <w:szCs w:val="18"/>
          <w:color w:val="auto"/>
        </w:rPr>
        <w:t>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State laws may also require disclosure of pharmaceutical pricing information and marketing expenditures. Manufacturers must also submit information to the FDA on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right="60"/>
        <w:spacing w:after="0" w:line="235" w:lineRule="auto"/>
        <w:rPr>
          <w:sz w:val="20"/>
          <w:szCs w:val="20"/>
          <w:color w:val="auto"/>
        </w:rPr>
      </w:pPr>
      <w:r>
        <w:rPr>
          <w:rFonts w:ascii="Arial" w:cs="Arial" w:eastAsia="Arial" w:hAnsi="Arial"/>
          <w:sz w:val="18"/>
          <w:szCs w:val="18"/>
          <w:color w:val="auto"/>
        </w:rPr>
        <w:t>identity and quantity of drug samples requested and distributed by a manufacturer during each year. Many of these laws and regulations contain ambiguous requirements or require administrative guidance for implementation. Given the lack of clarity in laws and their implementation, our activities could be subject to the penalty provisions of the pertinent federal and state laws and regulations.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98" w:lineRule="exact"/>
        <w:rPr>
          <w:sz w:val="20"/>
          <w:szCs w:val="20"/>
          <w:color w:val="auto"/>
        </w:rPr>
      </w:pPr>
    </w:p>
    <w:p>
      <w:pPr>
        <w:ind w:right="20" w:firstLine="749"/>
        <w:spacing w:after="0" w:line="225"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Our ongoing efforts to comply with evolving laws and regulations may be costly and require ongoing modifications to our policies, procedures and systems. Failure to comply with laws regarding data protection would expose us to risk of enforcement actions and penalties under such laws.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1" w:lineRule="exact"/>
        <w:rPr>
          <w:sz w:val="20"/>
          <w:szCs w:val="20"/>
          <w:color w:val="auto"/>
        </w:rPr>
      </w:pPr>
    </w:p>
    <w:p>
      <w:pPr>
        <w:ind w:firstLine="749"/>
        <w:spacing w:after="0" w:line="250" w:lineRule="auto"/>
        <w:rPr>
          <w:sz w:val="20"/>
          <w:szCs w:val="20"/>
          <w:color w:val="auto"/>
        </w:rPr>
      </w:pPr>
      <w:r>
        <w:rPr>
          <w:rFonts w:ascii="Arial" w:cs="Arial" w:eastAsia="Arial" w:hAnsi="Arial"/>
          <w:sz w:val="16"/>
          <w:szCs w:val="16"/>
          <w:color w:val="auto"/>
        </w:rPr>
        <w:t>Within the U.S., there are numerous federal and state laws and regulations related to the privacy and security of personal information. For example, at the federal level, the Health Insurance Portability and Accountability Act of 1996 (“HIPAA”), as amended, and its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For example, the California Consumer Privacy Act (“CCPA”), which took effect on January 1, 2020, gives California consumers (defined to include all California residents) certain rights, including the right to ask covered companies to disclose the types of personal information collected, the categories of sources from which such information was collected, the business purpose for collecting or selling the consumer’s personal information, the categories of third parties with whom a covered company shares personal information, and specific pieces of information collected by a covered company. The CCPA imposes several obligations on covered companies to provide notice to California consumers regarding their data processing activities. The CCPA also gives California consumers the right to ask covered companies to delete a consumer’s personal information and it places limitations on a covered company’s ability to sell personal information, including providing consumers a right to opt out of sales of their personal information. Additionally, the recently passed California Privacy Rights Act (“CPRA”), which will become operational in 2023, will significantly modify the CCPA, including expanding consumers’ rights with respect to certain sensitive personal information, and creating a new state agency that will be vested with authority to implement and enforce the CCPA and CPRA. The Virginia Consumer Data Protection Act (“CDPA”) was signed into law on March 2, 2021 and will go into effect on January 1, 2023. The CDPA provides consumers with new rights to access, correct, delete and obtain a copy of the personal information a covered business holds about them, and to opt out of certain data processing activities.</w:t>
      </w:r>
    </w:p>
    <w:p>
      <w:pPr>
        <w:spacing w:after="0" w:line="168" w:lineRule="exact"/>
        <w:rPr>
          <w:sz w:val="20"/>
          <w:szCs w:val="20"/>
          <w:color w:val="auto"/>
        </w:rPr>
      </w:pPr>
    </w:p>
    <w:p>
      <w:pPr>
        <w:ind w:firstLine="749"/>
        <w:spacing w:after="0" w:line="251" w:lineRule="auto"/>
        <w:rPr>
          <w:sz w:val="20"/>
          <w:szCs w:val="20"/>
          <w:color w:val="auto"/>
        </w:rPr>
      </w:pPr>
      <w:r>
        <w:rPr>
          <w:rFonts w:ascii="Arial" w:cs="Arial" w:eastAsia="Arial" w:hAnsi="Arial"/>
          <w:sz w:val="16"/>
          <w:szCs w:val="16"/>
          <w:color w:val="auto"/>
        </w:rPr>
        <w:t>In addition, 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For example, the processing of personal data in the EEA, is subject to the General Data Protection Regulation (the “GDPR”), which took effect in May 2018. The GDPR increases obligations with respect to clinical trials conducted in the EEA, such as in relation to the provision of fair processing notices, responding to data subjects who exercise their rights and reporting certain data breaches to regulators and affected individuals. The GDPR also requires us to enter certain contractual arrangements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U.S. The July 2020 invalidation by the Court of Justice of the EU of the EU-U.S. Privacy Shield framework, one of the mechanisms used to legitimize the transfer of personal data from the EEA to the U.S., has led to increased scrutiny on data transfers from the EEA to the U.S. generally and may increase our costs of compliance with data privacy legislation. If our or our partners’ or service providers’ privacy or data security measures fail to comply with the GDPR requirements, we may be subject to litigation, regulatory investigations, enforcement notices requiring us to change the way we use personal data and/or fines of up to EURO 20 million or up to 4% of the total worldwide annual turnover of the preceding financial year, whichever is higher, as well as claims by affected individuals, negative publicity, reputational harm and a potential loss of business and goodwill.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94" w:lineRule="exact"/>
        <w:rPr>
          <w:sz w:val="20"/>
          <w:szCs w:val="20"/>
          <w:color w:val="auto"/>
        </w:rPr>
      </w:pPr>
    </w:p>
    <w:p>
      <w:pPr>
        <w:ind w:right="260" w:firstLine="749"/>
        <w:spacing w:after="0" w:line="231" w:lineRule="auto"/>
        <w:rPr>
          <w:sz w:val="20"/>
          <w:szCs w:val="20"/>
          <w:color w:val="auto"/>
        </w:rPr>
      </w:pPr>
      <w:r>
        <w:rPr>
          <w:rFonts w:ascii="Arial" w:cs="Arial" w:eastAsia="Arial" w:hAnsi="Arial"/>
          <w:sz w:val="18"/>
          <w:szCs w:val="18"/>
          <w:color w:val="auto"/>
        </w:rPr>
        <w:t>We have an ongoing dialogue with payors globally with the goal of obtaining broad coverage for our products. To date, payors’ policies on coverage for our products have varied widely, including policies that allow broad coverage per the respective product’s prescribing information, policies that provide limited coverage and policies that have denied coverage. The majority of payors have policies that provide for case-by-case coverage or restricted coverage. Our revenue depends, in part, upon the extent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7" w:name="page28"/>
    <w:bookmarkEnd w:id="27"/>
    <w:p>
      <w:pPr>
        <w:ind w:right="380"/>
        <w:spacing w:after="0" w:line="246" w:lineRule="auto"/>
        <w:rPr>
          <w:sz w:val="20"/>
          <w:szCs w:val="20"/>
          <w:color w:val="auto"/>
        </w:rPr>
      </w:pPr>
      <w:r>
        <w:rPr>
          <w:rFonts w:ascii="Arial" w:cs="Arial" w:eastAsia="Arial" w:hAnsi="Arial"/>
          <w:sz w:val="18"/>
          <w:szCs w:val="18"/>
          <w:color w:val="auto"/>
        </w:rPr>
        <w:t>which payors provide coverage for our products and the amount that payors, including government authorities or programs, private health insurers and other organizations, reimburse patients and healthcare providers for the cost of our products.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Third Party Reimbursement and Pricing in the U.S.</w:t>
      </w:r>
    </w:p>
    <w:p>
      <w:pPr>
        <w:spacing w:after="0" w:line="90" w:lineRule="exact"/>
        <w:rPr>
          <w:sz w:val="20"/>
          <w:szCs w:val="20"/>
          <w:color w:val="auto"/>
        </w:rPr>
      </w:pPr>
    </w:p>
    <w:p>
      <w:pPr>
        <w:ind w:right="320" w:firstLine="749"/>
        <w:spacing w:after="0" w:line="273" w:lineRule="auto"/>
        <w:rPr>
          <w:sz w:val="20"/>
          <w:szCs w:val="20"/>
          <w:color w:val="auto"/>
        </w:rPr>
      </w:pPr>
      <w:r>
        <w:rPr>
          <w:rFonts w:ascii="Arial" w:cs="Arial" w:eastAsia="Arial" w:hAnsi="Arial"/>
          <w:sz w:val="16"/>
          <w:szCs w:val="16"/>
          <w:i w:val="1"/>
          <w:iCs w:val="1"/>
          <w:color w:val="auto"/>
        </w:rPr>
        <w:t xml:space="preserve">Commercial Insurance. </w:t>
      </w:r>
      <w:r>
        <w:rPr>
          <w:rFonts w:ascii="Arial" w:cs="Arial" w:eastAsia="Arial" w:hAnsi="Arial"/>
          <w:sz w:val="16"/>
          <w:szCs w:val="16"/>
          <w:color w:val="auto"/>
        </w:rPr>
        <w:t>Coverage and reimbursement of our products vary from commercial payor to commercial payor. Many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payors, such as managed care plans, manage access to FDA approved products, and may use drug formularies and medical policies (which may include</w:t>
      </w:r>
    </w:p>
    <w:p>
      <w:pPr>
        <w:spacing w:after="0" w:line="1"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specific coverage requirements such as prior authorization, re-authorization and achieving performance metrics under value-based contracts) to control utilization. Exclusion from or restriction in coverage can reduce product usage.</w:t>
      </w:r>
    </w:p>
    <w:p>
      <w:pPr>
        <w:spacing w:after="0" w:line="171" w:lineRule="exact"/>
        <w:rPr>
          <w:sz w:val="20"/>
          <w:szCs w:val="20"/>
          <w:color w:val="auto"/>
        </w:rPr>
      </w:pPr>
    </w:p>
    <w:p>
      <w:pPr>
        <w:ind w:right="20" w:firstLine="749"/>
        <w:spacing w:after="0" w:line="227" w:lineRule="auto"/>
        <w:rPr>
          <w:sz w:val="20"/>
          <w:szCs w:val="20"/>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Our products are eligible to be reimbursed by Medicaid. Medicaid is a joint federal and state program that is administered by the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low income and disabled beneficiaries. Under the Medicaid Drug Rebate Program, participating manufacturers are required to pay a rebate for each unit of product reimbursed under the state Medicaid programs. The amount of the rebate for each product is set by law and depends in part on the prices at which our products are sold to certain other purchasers and may be subject to an additional discount if certain pricing increases more than inflation. State Medicaid programs and Medicaid managed care plans can seek additional “supplemental” rebates from manufacturers in connection with favorable positioning on formularies.</w:t>
      </w:r>
    </w:p>
    <w:p>
      <w:pPr>
        <w:spacing w:after="0" w:line="216" w:lineRule="exact"/>
        <w:rPr>
          <w:sz w:val="20"/>
          <w:szCs w:val="20"/>
          <w:color w:val="auto"/>
        </w:rPr>
      </w:pPr>
    </w:p>
    <w:p>
      <w:pPr>
        <w:ind w:right="140" w:firstLine="749"/>
        <w:spacing w:after="0" w:line="258" w:lineRule="auto"/>
        <w:rPr>
          <w:sz w:val="20"/>
          <w:szCs w:val="20"/>
          <w:color w:val="auto"/>
        </w:rPr>
      </w:pPr>
      <w:r>
        <w:rPr>
          <w:rFonts w:ascii="Arial" w:cs="Arial" w:eastAsia="Arial" w:hAnsi="Arial"/>
          <w:sz w:val="16"/>
          <w:szCs w:val="16"/>
          <w:i w:val="1"/>
          <w:iCs w:val="1"/>
          <w:color w:val="auto"/>
        </w:rPr>
        <w:t>Medicare</w:t>
      </w:r>
      <w:r>
        <w:rPr>
          <w:rFonts w:ascii="Arial" w:cs="Arial" w:eastAsia="Arial" w:hAnsi="Arial"/>
          <w:sz w:val="16"/>
          <w:szCs w:val="16"/>
          <w:color w:val="auto"/>
        </w:rPr>
        <w:t>. Medicare is a federal program that is administered by the federal government that covers individuals age 65 and over, disabled</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and individuals with certain conditions. Our products are eligible for reimbursement under Medicare Part B. Medicare Part B generally covers drugs that are usually administered by physicians or other clinicians. Medicare Part B pays for such drugs under a payment methodology based on the average sales price (“ASP”) of the drugs. Reimbursement levels and reimbursement methodologies have come under scrutiny and may be subject to change. See “</w:t>
      </w:r>
      <w:r>
        <w:rPr>
          <w:rFonts w:ascii="Arial" w:cs="Arial" w:eastAsia="Arial" w:hAnsi="Arial"/>
          <w:sz w:val="16"/>
          <w:szCs w:val="16"/>
          <w:i w:val="1"/>
          <w:iCs w:val="1"/>
          <w:color w:val="auto"/>
        </w:rPr>
        <w:t>Government Regulation – Healthcare and Other Reform.</w:t>
      </w:r>
      <w:r>
        <w:rPr>
          <w:rFonts w:ascii="Arial" w:cs="Arial" w:eastAsia="Arial" w:hAnsi="Arial"/>
          <w:sz w:val="16"/>
          <w:szCs w:val="16"/>
          <w:color w:val="auto"/>
        </w:rPr>
        <w:t>” The Centers for Medicare &amp; Medicaid Services (“CMS”) are also increasingly bundling drug reimbursement into procedure costs, which can severely decrease the reimbursement rates for some manufacturers’ drugs.</w:t>
      </w:r>
    </w:p>
    <w:p>
      <w:pPr>
        <w:spacing w:after="0" w:line="163" w:lineRule="exact"/>
        <w:rPr>
          <w:sz w:val="20"/>
          <w:szCs w:val="20"/>
          <w:color w:val="auto"/>
        </w:rPr>
      </w:pPr>
    </w:p>
    <w:p>
      <w:pPr>
        <w:ind w:firstLine="749"/>
        <w:spacing w:after="0" w:line="239" w:lineRule="auto"/>
        <w:rPr>
          <w:sz w:val="20"/>
          <w:szCs w:val="20"/>
          <w:color w:val="auto"/>
        </w:rPr>
      </w:pPr>
      <w:r>
        <w:rPr>
          <w:rFonts w:ascii="Arial" w:cs="Arial" w:eastAsia="Arial" w:hAnsi="Arial"/>
          <w:sz w:val="17"/>
          <w:szCs w:val="17"/>
          <w:i w:val="1"/>
          <w:iCs w:val="1"/>
          <w:color w:val="auto"/>
        </w:rPr>
        <w:t>Federal Purchasers</w:t>
      </w:r>
      <w:r>
        <w:rPr>
          <w:rFonts w:ascii="Arial" w:cs="Arial" w:eastAsia="Arial" w:hAnsi="Arial"/>
          <w:sz w:val="17"/>
          <w:szCs w:val="17"/>
          <w:color w:val="auto"/>
        </w:rPr>
        <w:t>. Drug products are subject to discounted pricing when purchased by federal agencies via the Federal Supply Schedule</w:t>
      </w:r>
      <w:r>
        <w:rPr>
          <w:rFonts w:ascii="Arial" w:cs="Arial" w:eastAsia="Arial" w:hAnsi="Arial"/>
          <w:sz w:val="17"/>
          <w:szCs w:val="17"/>
          <w:i w:val="1"/>
          <w:iCs w:val="1"/>
          <w:color w:val="auto"/>
        </w:rPr>
        <w:t xml:space="preserve"> </w:t>
      </w:r>
      <w:r>
        <w:rPr>
          <w:rFonts w:ascii="Arial" w:cs="Arial" w:eastAsia="Arial" w:hAnsi="Arial"/>
          <w:sz w:val="17"/>
          <w:szCs w:val="17"/>
          <w:color w:val="auto"/>
        </w:rPr>
        <w:t>(“FSS”). FSS participation is required for a drug product to be covered and reimbursed by certain federal agencies and for coverage under Medicaid, Medicare Part B and the Public Health Service (“PHS”) 340B drug pricing program. FSS pricing is negotiated periodically with the Department of Veterans Affairs. FSS pricing is intended not to exceed the price that a manufacturer charges its most-favored non-federal customer for its product. In addition, prices for drugs purchased by the Veterans Administration, Department of Defense (including drugs purchased by military personnel and dependents through the TRICARE retail pharmacy program), Coast Guard, and PHS are subject to a cap on pricing (known as the “federal ceiling price”) and may be subject to an additional discount if pricing increases more than the rate of inflation.</w:t>
      </w:r>
    </w:p>
    <w:p>
      <w:pPr>
        <w:spacing w:after="0" w:line="190"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i w:val="1"/>
          <w:iCs w:val="1"/>
          <w:color w:val="auto"/>
        </w:rPr>
        <w:t>PHS 340B Drug Pricing Program</w:t>
      </w:r>
      <w:r>
        <w:rPr>
          <w:rFonts w:ascii="Arial" w:cs="Arial" w:eastAsia="Arial" w:hAnsi="Arial"/>
          <w:sz w:val="16"/>
          <w:szCs w:val="16"/>
          <w:color w:val="auto"/>
        </w:rPr>
        <w:t>. To maintain coverage of drugs under the Medicaid Drug Rebate Program and Medicare Part B,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are required to extend discounts to certain purchasers under the PHS 340B drug pricing program. Purchasers eligible for discounts include hospitals that serve a disproportionate share of financially needy patients, community health clinics and other entities that receive health services grants from the PHS.</w:t>
      </w:r>
    </w:p>
    <w:p>
      <w:pPr>
        <w:spacing w:after="0" w:line="174"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i w:val="1"/>
          <w:iCs w:val="1"/>
          <w:color w:val="auto"/>
        </w:rPr>
        <w:t xml:space="preserve">Healthcare and Other Reform. </w:t>
      </w:r>
      <w:r>
        <w:rPr>
          <w:rFonts w:ascii="Arial" w:cs="Arial" w:eastAsia="Arial" w:hAnsi="Arial"/>
          <w:sz w:val="17"/>
          <w:szCs w:val="17"/>
          <w:color w:val="auto"/>
        </w:rPr>
        <w:t>In the U.S., federal and state governments continue to propose and pass legislation designed to reform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or payment for, health care, which include initiatives to reduce the cost of healthcare. For example, in March 2010, the U.S. Congress enacted the Patient Protection and Affordable Care Act and the Health Care and Education Reconciliation Act (the “Healthcare Reform Act”), which expanded health care coverage through Medicaid expansion, implemented the “individual mandate” for health insurance coverage (by imposing a tax penalty on individuals who did not obtain insurance) and changed the coverage and reimbursement of drug products under government healthcare programs. Under the Trump administration, there have been ongoing efforts to modify or repeal all or certain provisions of the Healthcare Reform Act. For example, tax reform legislation was enacted at the end of 2017 that eliminated the tax penalty established under the Healthcare Reform Act for individuals who do not maintain mandated health insurance coverage beginning in 2019. The Healthcare Reform Act has also been subject to judicial challenge. On June 17, 2021, the U.S. Supreme Court dismissed the latest judicial challenge to the Healthcare Reform Act brought by several states without specifically ruling on the constitutionality of the Healthcare Reform Act.</w:t>
      </w:r>
    </w:p>
    <w:p>
      <w:pPr>
        <w:spacing w:after="0" w:line="56" w:lineRule="exact"/>
        <w:rPr>
          <w:sz w:val="20"/>
          <w:szCs w:val="20"/>
          <w:color w:val="auto"/>
        </w:rPr>
      </w:pPr>
    </w:p>
    <w:p>
      <w:pPr>
        <w:ind w:right="40" w:firstLine="749"/>
        <w:spacing w:after="0" w:line="239" w:lineRule="auto"/>
        <w:rPr>
          <w:sz w:val="20"/>
          <w:szCs w:val="20"/>
          <w:color w:val="auto"/>
        </w:rPr>
      </w:pPr>
      <w:r>
        <w:rPr>
          <w:rFonts w:ascii="Arial" w:cs="Arial" w:eastAsia="Arial" w:hAnsi="Arial"/>
          <w:sz w:val="16"/>
          <w:szCs w:val="16"/>
          <w:color w:val="auto"/>
        </w:rPr>
        <w:t>Beyond the Healthcare Reform Act, there have been ongoing healthcare reform efforts. Some recent healthcare reform efforts have sought to address certain issues related to the COVID-19 pandemic, including an expansion of telehealth coverage under Medicare and accelerated or advanced Medicare payments to healthcare providers. Other reform efforts affect pricing or payment for drug products. For example, the Medicaid Drug Rebate Program has been subject to statutory and regulatory changes and the discount that manufacturers of Medicare Part D brand name drugs must provide to Medicare Part D beneficiaries during the coverage gap increased from 50% to 70%. Additional reform efforts are likely. The Biden administration has focused on reforms that would address the high cost of drugs. In response to an Executive Order from President Biden, the Secretary of HHS issued a comprehensive plan for addressing high drug prices that describes a number of legislative approaches and identifies administrative tools to address the high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8" w:name="page29"/>
    <w:bookmarkEnd w:id="28"/>
    <w:p>
      <w:pPr>
        <w:spacing w:after="0" w:line="237" w:lineRule="auto"/>
        <w:rPr>
          <w:sz w:val="20"/>
          <w:szCs w:val="20"/>
          <w:color w:val="auto"/>
        </w:rPr>
      </w:pPr>
      <w:r>
        <w:rPr>
          <w:rFonts w:ascii="Arial" w:cs="Arial" w:eastAsia="Arial" w:hAnsi="Arial"/>
          <w:sz w:val="17"/>
          <w:szCs w:val="17"/>
          <w:color w:val="auto"/>
        </w:rPr>
        <w:t>cost of drugs. Democrats also included drug pricing reform provisions reflecting elements of the plan in a broader proposed spending package in late 2021 - such as capping Medicare Part D patients out-of-pocket costs; establishing penalties for drug prices that increase faster than inflation in Medicare; and authorizing the federal government to negotiate prices on certain, select high cost drugs under Medicare Parts B and D.</w:t>
      </w:r>
    </w:p>
    <w:p>
      <w:pPr>
        <w:spacing w:after="0" w:line="55" w:lineRule="exact"/>
        <w:rPr>
          <w:sz w:val="20"/>
          <w:szCs w:val="20"/>
          <w:color w:val="auto"/>
        </w:rPr>
      </w:pPr>
    </w:p>
    <w:p>
      <w:pPr>
        <w:jc w:val="both"/>
        <w:ind w:right="60" w:firstLine="749"/>
        <w:spacing w:after="0" w:line="219" w:lineRule="auto"/>
        <w:rPr>
          <w:sz w:val="20"/>
          <w:szCs w:val="20"/>
          <w:color w:val="auto"/>
        </w:rPr>
      </w:pPr>
      <w:r>
        <w:rPr>
          <w:rFonts w:ascii="Arial" w:cs="Arial" w:eastAsia="Arial" w:hAnsi="Arial"/>
          <w:sz w:val="18"/>
          <w:szCs w:val="18"/>
          <w:color w:val="auto"/>
        </w:rPr>
        <w:t>Healthcare reform efforts have been and may continue to be subject to scrutiny and legal challenge. For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1, 2026.</w:t>
      </w:r>
    </w:p>
    <w:p>
      <w:pPr>
        <w:spacing w:after="0" w:line="55" w:lineRule="exact"/>
        <w:rPr>
          <w:sz w:val="20"/>
          <w:szCs w:val="20"/>
          <w:color w:val="auto"/>
        </w:rPr>
      </w:pPr>
    </w:p>
    <w:p>
      <w:pPr>
        <w:ind w:right="460" w:firstLine="749"/>
        <w:spacing w:after="0" w:line="259" w:lineRule="auto"/>
        <w:rPr>
          <w:sz w:val="20"/>
          <w:szCs w:val="20"/>
          <w:color w:val="auto"/>
        </w:rPr>
      </w:pPr>
      <w:r>
        <w:rPr>
          <w:rFonts w:ascii="Arial" w:cs="Arial" w:eastAsia="Arial" w:hAnsi="Arial"/>
          <w:sz w:val="16"/>
          <w:szCs w:val="16"/>
          <w:color w:val="auto"/>
        </w:rPr>
        <w:t>Adoption of new healthcare reform legislation at the federal or state level could affect demand for, or pricing of, our products or product candidates if approved for sale. We cannot predict, however, the ultimate content, timing or effect of any healthcare reform legislation or action, or its impact on us, and healthcare reform could increase compliance costs and may adversely affect our future business and financial results.</w:t>
      </w:r>
    </w:p>
    <w:p>
      <w:pPr>
        <w:spacing w:after="0" w:line="39" w:lineRule="exact"/>
        <w:rPr>
          <w:sz w:val="20"/>
          <w:szCs w:val="20"/>
          <w:color w:val="auto"/>
        </w:rPr>
      </w:pPr>
    </w:p>
    <w:p>
      <w:pPr>
        <w:ind w:right="100" w:firstLine="749"/>
        <w:spacing w:after="0" w:line="244" w:lineRule="auto"/>
        <w:rPr>
          <w:sz w:val="20"/>
          <w:szCs w:val="20"/>
          <w:color w:val="auto"/>
        </w:rPr>
      </w:pPr>
      <w:r>
        <w:rPr>
          <w:rFonts w:ascii="Arial" w:cs="Arial" w:eastAsia="Arial" w:hAnsi="Arial"/>
          <w:sz w:val="16"/>
          <w:szCs w:val="16"/>
          <w:color w:val="auto"/>
        </w:rPr>
        <w:t>There have also been efforts by government officials or legislators to implement measures to regulate prices or payment for pharmaceutical products, including legislation on drug importation.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 Certain state legislation has been subject to legal challenges. Adoption of new legislation regulating drug pricing at the federal or state level could further affect demand for, or pricing of, our products.</w:t>
      </w:r>
    </w:p>
    <w:p>
      <w:pPr>
        <w:spacing w:after="0" w:line="50" w:lineRule="exact"/>
        <w:rPr>
          <w:sz w:val="20"/>
          <w:szCs w:val="20"/>
          <w:color w:val="auto"/>
        </w:rPr>
      </w:pPr>
    </w:p>
    <w:p>
      <w:pPr>
        <w:ind w:right="40" w:firstLine="749"/>
        <w:spacing w:after="0" w:line="216" w:lineRule="auto"/>
        <w:rPr>
          <w:sz w:val="20"/>
          <w:szCs w:val="20"/>
          <w:color w:val="auto"/>
        </w:rPr>
      </w:pPr>
      <w:r>
        <w:rPr>
          <w:rFonts w:ascii="Arial" w:cs="Arial" w:eastAsia="Arial" w:hAnsi="Arial"/>
          <w:sz w:val="18"/>
          <w:szCs w:val="18"/>
          <w:color w:val="auto"/>
        </w:rPr>
        <w:t>General legislative cost control measures may also affect reimbursement for our products. The Budget Control Act of 2011, as amended, resulted in the imposition of 2% reductions in Medicare (but not Medicaid) payments to providers in 2013 and remains in effect through 2030 (except May 1, 2020 to March 31, 2022)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Third Party Reimbursement and Pricing outside the U.S.</w:t>
      </w:r>
    </w:p>
    <w:p>
      <w:pPr>
        <w:spacing w:after="0" w:line="90" w:lineRule="exact"/>
        <w:rPr>
          <w:sz w:val="20"/>
          <w:szCs w:val="20"/>
          <w:color w:val="auto"/>
        </w:rPr>
      </w:pPr>
    </w:p>
    <w:p>
      <w:pPr>
        <w:ind w:right="40" w:firstLine="749"/>
        <w:spacing w:after="0" w:line="237" w:lineRule="auto"/>
        <w:rPr>
          <w:sz w:val="20"/>
          <w:szCs w:val="20"/>
          <w:color w:val="auto"/>
        </w:rPr>
      </w:pPr>
      <w:r>
        <w:rPr>
          <w:rFonts w:ascii="Arial" w:cs="Arial" w:eastAsia="Arial" w:hAnsi="Arial"/>
          <w:sz w:val="16"/>
          <w:szCs w:val="16"/>
          <w:color w:val="auto"/>
        </w:rPr>
        <w:t>We currently have no products approved for marketing outside the U.S., other than a marketing authorization for EXONDYS 51 in Israel. We may need to conduct long-term pharmacoeconomic studies in order to demonstrate the cost-effectiveness of our products. In the EU and certain other territories, price controls and Health Technology Assessments for new, highly priced medicines are expected. Uncertainty exists about the pricing and reimbursement status of newly approved products in the EU. Criteria such as cost-effectiveness, cost per quality-adjusted life year, budget impact, or others, in addition to the clinical benefit, are often required to demonstrate added value or benefit of a drug and vary by country. Third party reimbursement limits may reduce the demand for our products. The pace of the application process in some countries could also delay commercial product launches. Gaining acceptance of our product pipeline and an economically viable reimbursement terms in the EU and other markets will require strong education and awareness efforts around Duchenne as well as strong data supporting its effectiveness and cost-effectiveness.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right="280" w:firstLine="749"/>
        <w:spacing w:after="0" w:line="241" w:lineRule="auto"/>
        <w:rPr>
          <w:sz w:val="20"/>
          <w:szCs w:val="20"/>
          <w:color w:val="auto"/>
        </w:rPr>
      </w:pPr>
      <w:r>
        <w:rPr>
          <w:rFonts w:ascii="Arial" w:cs="Arial" w:eastAsia="Arial" w:hAnsi="Arial"/>
          <w:sz w:val="16"/>
          <w:szCs w:val="16"/>
          <w:color w:val="auto"/>
        </w:rPr>
        <w:t>The pharmaceutical and biotechnology industries are intensely competitive, and any product candidate developed by us would likely compete with existing drugs and therapies. There are many pharmaceutical companies, biotechnology companies, public and private universities, government agencies and research organizations that compete with us in developing various approaches to the treatment of rare, neuromuscular and other diseases. Many of these organizations have substantially greater financial, technical, manufacturing and marketing resources than we have. Several of them have developed or are developing therapies that could be used for treatment of the same diseases that we are targeting. In addition, some of these competitors have significantly greater commercial infrastructures than we have. Our ability to compete successfully will depend largely on:</w:t>
      </w:r>
    </w:p>
    <w:p>
      <w:pPr>
        <w:spacing w:after="0" w:line="66"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complete clinical development and obtain regulatory approvals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safety and reliability of our products and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dosing, strength, convenience and other product profile attributes of our products and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scope of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acceptance by physicians and other health-care providers;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our proprietary rights and the level of generic or innovative competition;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have freedom to operate to commercialize our products and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supply commercial quantities of a product meeting FDA specifications to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supplying our products and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reimbursement for product use in approved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and retain skilled employees;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substantial capital resources to fund development and commercialization activities.</w:t>
      </w:r>
    </w:p>
    <w:p>
      <w:pPr>
        <w:spacing w:after="0" w:line="90" w:lineRule="exact"/>
        <w:rPr>
          <w:sz w:val="20"/>
          <w:szCs w:val="20"/>
          <w:color w:val="auto"/>
        </w:rPr>
      </w:pPr>
    </w:p>
    <w:p>
      <w:pPr>
        <w:ind w:firstLine="749"/>
        <w:spacing w:after="0" w:line="223" w:lineRule="auto"/>
        <w:rPr>
          <w:sz w:val="20"/>
          <w:szCs w:val="20"/>
          <w:color w:val="auto"/>
        </w:rPr>
      </w:pPr>
      <w:r>
        <w:rPr>
          <w:rFonts w:ascii="Arial" w:cs="Arial" w:eastAsia="Arial" w:hAnsi="Arial"/>
          <w:sz w:val="17"/>
          <w:szCs w:val="17"/>
          <w:color w:val="auto"/>
        </w:rPr>
        <w:t>EXONDYS 51, VYONDYS 53 and AMONDYS 45 were the first three disease modifying therapeutics approved by FDA for the treatment of Duchenne for patients with a confirmed mutation that is amenable to exon 51 skipping, exon 53 skipping or exon 45 skipping, respectively. However, in the field of Duchenne alone, these products and those in our pipeline face a variety of competitors who either have FDA approval or are being clinically developed for the treatment of Duchenne. For example, Nippon Shinyaku Co. Ltd. (“Nippon”) announced on August 13, 2020 that the FDA approved VILTEPSO (viltolarsen) injection for patients with Duchenne who are amenable to exon 53 skipping therapy. On March 25, 2020, Nippon announced that the Japanese Ministry of Health, Labor, and Welfare (“MHLW”) approved Viltepso Intravenous Infusion 250 mg (viltolarsen) for the treatment of patients with Duchenne who are amendable to exon 53 skipping therapy making it the first non-steroidal treatment for Duchenne approved in Japan. Nippon has announced plans to pursue global registration for viltolarsen.</w:t>
      </w:r>
    </w:p>
    <w:p>
      <w:pPr>
        <w:spacing w:after="0" w:line="59" w:lineRule="exact"/>
        <w:rPr>
          <w:sz w:val="20"/>
          <w:szCs w:val="20"/>
          <w:color w:val="auto"/>
        </w:rPr>
      </w:pPr>
    </w:p>
    <w:p>
      <w:pPr>
        <w:ind w:right="180" w:firstLine="749"/>
        <w:spacing w:after="0" w:line="235" w:lineRule="auto"/>
        <w:rPr>
          <w:sz w:val="20"/>
          <w:szCs w:val="20"/>
          <w:color w:val="auto"/>
        </w:rPr>
      </w:pPr>
      <w:r>
        <w:rPr>
          <w:rFonts w:ascii="Arial" w:cs="Arial" w:eastAsia="Arial" w:hAnsi="Arial"/>
          <w:sz w:val="18"/>
          <w:szCs w:val="18"/>
          <w:color w:val="auto"/>
        </w:rPr>
        <w:t>In addition, there are many companies who have announced plans to transition pre-clinical candidates to clinical development for the treatment of Duchenne, including the following:</w:t>
      </w:r>
    </w:p>
    <w:p>
      <w:pPr>
        <w:spacing w:after="0" w:line="67" w:lineRule="exact"/>
        <w:rPr>
          <w:sz w:val="20"/>
          <w:szCs w:val="20"/>
          <w:color w:val="auto"/>
        </w:rPr>
      </w:pPr>
    </w:p>
    <w:p>
      <w:pPr>
        <w:ind w:left="1020" w:right="200" w:hanging="503"/>
        <w:spacing w:after="0" w:line="24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Wave Life Sciences (“Wave”) is developing oligonucleotides for the treatment of Duchenne. Wave was developing an exon 51 skipping product candidate for Duchenne, suvodirsen (WVE-210201), until on December 16, 2019, Wave announced the discontinuation of WVE-210201. Wave more recently announced in September 2021 that it initiated dosing in a Phase 1b/2a clinical trial evaluating WVE-N531, its exon 53 skipping product candidate.</w:t>
      </w:r>
    </w:p>
    <w:p>
      <w:pPr>
        <w:spacing w:after="0" w:line="79" w:lineRule="exact"/>
        <w:rPr>
          <w:rFonts w:ascii="Arial" w:cs="Arial" w:eastAsia="Arial" w:hAnsi="Arial"/>
          <w:sz w:val="18"/>
          <w:szCs w:val="18"/>
          <w:color w:val="auto"/>
        </w:rPr>
      </w:pPr>
    </w:p>
    <w:p>
      <w:pPr>
        <w:jc w:val="both"/>
        <w:ind w:left="1020" w:right="16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Daiichi Sankyo (“Daiichi”) announced a phase 1/2 clinical trial conducted in Japan for its exon 45 skipping oligonucleotide candidate, DS-5141b. In April 2018, Daiichi announced top-line results of the Phase 1/2 clinical trial of DS-5141 and that Daiichi will continue to develop DS-5141b. Daiichi is sponsoring a Phase 2 clinical trial of DS-5141b.</w:t>
      </w:r>
    </w:p>
    <w:p>
      <w:pPr>
        <w:spacing w:after="0" w:line="7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Solid Biosciences, LLC (“Solid”) is investigating its micro-dystrophin gene transfer product candidate for Duchenne, SGT-001, in clinical trials.</w:t>
      </w:r>
    </w:p>
    <w:p>
      <w:pPr>
        <w:spacing w:after="0" w:line="62" w:lineRule="exact"/>
        <w:rPr>
          <w:rFonts w:ascii="Arial" w:cs="Arial" w:eastAsia="Arial" w:hAnsi="Arial"/>
          <w:sz w:val="18"/>
          <w:szCs w:val="18"/>
          <w:color w:val="auto"/>
        </w:rPr>
      </w:pPr>
    </w:p>
    <w:p>
      <w:pPr>
        <w:ind w:left="1020" w:right="140" w:hanging="503"/>
        <w:spacing w:after="0" w:line="24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Pfizer Inc. (“Pfizer”), presented initial Phase 1b clinical data for its AAV-9 / mini-dystrophin gene transfer product candidate for Duchenne, PF-06939926/BMB-D0016, in June 2019. In January 2021, Pfizer announced the first dose of its Phase 3 CIFFREO study that will evaluate the efficacy and safety of PF-06939926 in boys with Duchenne. In December 2021, the FDA imposed a clinical hold on the investigational new drug application.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0" w:name="page31"/>
    <w:bookmarkEnd w:id="30"/>
    <w:p>
      <w:pPr>
        <w:ind w:firstLine="749"/>
        <w:spacing w:after="0" w:line="241" w:lineRule="auto"/>
        <w:rPr>
          <w:sz w:val="20"/>
          <w:szCs w:val="20"/>
          <w:color w:val="auto"/>
        </w:rPr>
      </w:pPr>
      <w:r>
        <w:rPr>
          <w:rFonts w:ascii="Arial" w:cs="Arial" w:eastAsia="Arial" w:hAnsi="Arial"/>
          <w:sz w:val="18"/>
          <w:szCs w:val="18"/>
          <w:color w:val="auto"/>
        </w:rPr>
        <w:t>There are several companies in addition to those mentioned above that are pursuing disease modifying programs for Duchenne that are at the pre-clinical stage or clinical stage. These companies are pursuing oligonucleotides, gene transfer therapy or gene editing. Other companies continue to pursue development and approval of products for the treatment of Duchenne and their products may or may not prove to be safer and/or more efficacious than the products and product candidates in our Duchenne pipeline. Regarding any of these competitors, it is unknown if clinical development of these or other compounds is planned or would be continued.</w:t>
      </w:r>
    </w:p>
    <w:p>
      <w:pPr>
        <w:spacing w:after="0" w:line="189"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Additionally, companies have product candidates with mechanisms of action distinct from ours in different stages of development or approval in Duchenne which we believe could be seen as complementary to exon skipping and not a direct replacement of our products or product candidates at this time.</w:t>
      </w:r>
    </w:p>
    <w:p>
      <w:pPr>
        <w:spacing w:after="0" w:line="182"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Several companies and institutions have also entered into collaborations or other agreements for the development of product candidates, including mRNA, gene (CRISPR, AAV, etc.) or small molecule therapies that are potential competitors to therapies being developed by us in the muscular dystrophy, neuromuscular, CNS and rare disease space.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also believe that other biotechnology and pharmaceutical companies share a focus on RNA-targeted drug discovery and development.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additional information on the various risks posed by competition, refer to Part I, Item 1A. Risk Factors of this Annual Report on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16"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Our urgent mission – to engineer precision genetic medicine for rare diseases that devastate lives and cut futures short – is dependent on our ability to attract, develop and retain the industry’s best and brightest talent across all dimensions of diversity. This understanding informs our approach to managing our human capital resources.</w:t>
      </w:r>
    </w:p>
    <w:p>
      <w:pPr>
        <w:spacing w:after="0" w:line="18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b w:val="1"/>
          <w:bCs w:val="1"/>
          <w:i w:val="1"/>
          <w:iCs w:val="1"/>
          <w:color w:val="auto"/>
        </w:rPr>
        <w:t xml:space="preserve">General Information. </w:t>
      </w:r>
      <w:r>
        <w:rPr>
          <w:rFonts w:ascii="Arial" w:cs="Arial" w:eastAsia="Arial" w:hAnsi="Arial"/>
          <w:sz w:val="18"/>
          <w:szCs w:val="18"/>
          <w:color w:val="auto"/>
        </w:rPr>
        <w:t>As of December 31, 2021, we had 840 employees globally, 463 of whom hold advanced degrees. Of these employees, 503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engaged directly in research and development activities and 337 are in selling and general and administration. None of our employees in the U.S. are covered by collective bargaining agreements and we consider relations with our employees to be good.</w:t>
      </w:r>
    </w:p>
    <w:p>
      <w:pPr>
        <w:spacing w:after="0" w:line="178" w:lineRule="exact"/>
        <w:rPr>
          <w:sz w:val="20"/>
          <w:szCs w:val="20"/>
          <w:color w:val="auto"/>
        </w:rPr>
      </w:pPr>
    </w:p>
    <w:p>
      <w:pPr>
        <w:ind w:right="60" w:firstLine="749"/>
        <w:spacing w:after="0" w:line="258" w:lineRule="auto"/>
        <w:rPr>
          <w:sz w:val="20"/>
          <w:szCs w:val="20"/>
          <w:color w:val="auto"/>
        </w:rPr>
      </w:pPr>
      <w:r>
        <w:rPr>
          <w:rFonts w:ascii="Arial" w:cs="Arial" w:eastAsia="Arial" w:hAnsi="Arial"/>
          <w:sz w:val="17"/>
          <w:szCs w:val="17"/>
          <w:b w:val="1"/>
          <w:bCs w:val="1"/>
          <w:i w:val="1"/>
          <w:iCs w:val="1"/>
          <w:color w:val="auto"/>
        </w:rPr>
        <w:t>Equity, diversity, and inclusion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promote diversity, inclusion and equity across the organization. In the area of gender diversity,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representation of women has increased over the past several years: in 2018 and 2019, women made up 51% and 54% of our workforce, respectively, and in 2020, this percentage increased to 55%. As of December 31, 2021, women made up 56% of our workforce. The number of women in leadership positions has also consistently increased. In 2017, women represented 35% of the leadership positions at the Director level and above. This percentage increased to 36% in 2018, 44% in 2019, 47% as of December 31, 2020 and 48% as of December 31, 2021. In addition, as of December 31, 2021, women held 28.6% of the seats of our Board of Directors, including the Chair of the Board.</w:t>
      </w:r>
    </w:p>
    <w:p>
      <w:pPr>
        <w:spacing w:after="0" w:line="174" w:lineRule="exact"/>
        <w:rPr>
          <w:sz w:val="20"/>
          <w:szCs w:val="20"/>
          <w:color w:val="auto"/>
        </w:rPr>
      </w:pPr>
    </w:p>
    <w:p>
      <w:pPr>
        <w:ind w:right="360" w:firstLine="749"/>
        <w:spacing w:after="0" w:line="291" w:lineRule="auto"/>
        <w:rPr>
          <w:sz w:val="20"/>
          <w:szCs w:val="20"/>
          <w:color w:val="auto"/>
        </w:rPr>
      </w:pPr>
      <w:r>
        <w:rPr>
          <w:rFonts w:ascii="Arial" w:cs="Arial" w:eastAsia="Arial" w:hAnsi="Arial"/>
          <w:sz w:val="17"/>
          <w:szCs w:val="17"/>
          <w:color w:val="auto"/>
        </w:rPr>
        <w:t>Racial and ethnic diversity has also increased in the past few years, from 23% of our workforce being racially/ethnically diverse in 2017 and 2018, to 26% in 2019. As of December 31, 2020, this number increased to 29%, and again to 30% as of December 31, 2021.</w:t>
      </w:r>
    </w:p>
    <w:p>
      <w:pPr>
        <w:spacing w:after="0" w:line="147"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As of December 31, 2021, 50% of our Executive Committee, which represents the most senior leadership positions in the Company, is diverse based on gender and ethnicity.</w:t>
      </w:r>
    </w:p>
    <w:p>
      <w:pPr>
        <w:spacing w:after="0" w:line="171"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b w:val="1"/>
          <w:bCs w:val="1"/>
          <w:i w:val="1"/>
          <w:iCs w:val="1"/>
          <w:color w:val="auto"/>
        </w:rPr>
        <w:t xml:space="preserve">Compensation, Benefits and Ongoing Professional Development. </w:t>
      </w:r>
      <w:r>
        <w:rPr>
          <w:rFonts w:ascii="Arial" w:cs="Arial" w:eastAsia="Arial" w:hAnsi="Arial"/>
          <w:sz w:val="17"/>
          <w:szCs w:val="17"/>
          <w:color w:val="auto"/>
        </w:rPr>
        <w:t>We are committed to rewarding, supporting, and developing the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make it possible to deliver on our strategy. To that end, we offer a comprehensive total rewards package that includes market-competitive pay, broad-based equity grants and bonuses, healthcare benefits, retirement savings plans, paid time off and family leave, caregiving support, fitness subsidies, and an Employee Assistance Program. We also offer robust learning opportunities for employees at every stage in their career. For example, in 2020 we ran our leadership development program, ELEVATE, the participants of which reflect ethnic, racial and gender diversity. In 2021, we launched Pluma Coaching, which offers virtual, one on one professional development and executive coaching.</w:t>
      </w:r>
    </w:p>
    <w:p>
      <w:pPr>
        <w:spacing w:after="0" w:line="175" w:lineRule="exact"/>
        <w:rPr>
          <w:sz w:val="20"/>
          <w:szCs w:val="20"/>
          <w:color w:val="auto"/>
        </w:rPr>
      </w:pPr>
    </w:p>
    <w:p>
      <w:pPr>
        <w:ind w:right="220" w:firstLine="749"/>
        <w:spacing w:after="0" w:line="248" w:lineRule="auto"/>
        <w:rPr>
          <w:sz w:val="20"/>
          <w:szCs w:val="20"/>
          <w:color w:val="auto"/>
        </w:rPr>
      </w:pPr>
      <w:r>
        <w:rPr>
          <w:rFonts w:ascii="Arial" w:cs="Arial" w:eastAsia="Arial" w:hAnsi="Arial"/>
          <w:sz w:val="18"/>
          <w:szCs w:val="18"/>
          <w:color w:val="auto"/>
        </w:rPr>
        <w:t>We continue to adapt to the new challenges of the COVID-19 pandemic, with solutions such as remote work, flexible schedules, childcare assistance, paid time off for COVID-19 related health and family care needs, and sessions focused on resilience and happiness in uncertain times. At the same time, we continue to protect our facility-dependent employees, including those needed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right="300"/>
        <w:spacing w:after="0" w:line="261" w:lineRule="auto"/>
        <w:rPr>
          <w:sz w:val="20"/>
          <w:szCs w:val="20"/>
          <w:color w:val="auto"/>
        </w:rPr>
      </w:pPr>
      <w:r>
        <w:rPr>
          <w:rFonts w:ascii="Arial" w:cs="Arial" w:eastAsia="Arial" w:hAnsi="Arial"/>
          <w:sz w:val="18"/>
          <w:szCs w:val="18"/>
          <w:color w:val="auto"/>
        </w:rPr>
        <w:t>to maintain manufacturing and clinical research, by instituting strict protocols designed to ensure they remain healthy and feel supported and safe in our facilities.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Information</w:t>
      </w:r>
    </w:p>
    <w:p>
      <w:pPr>
        <w:spacing w:after="0" w:line="108"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We were originally incorporated in the State of Oregon on July 22, 1980, and on June 6, 2013, we reincorporated in the State of Delaware. Our principal executive offices are located at 215 First Street, Suite 415, Cambridge, MA 02142 and our telephone number is (617) 274-4000. Our common stock is quoted on the Nasdaq Global Select Market under the symbol “SRPT”.</w:t>
      </w:r>
    </w:p>
    <w:p>
      <w:pPr>
        <w:spacing w:after="0" w:line="182" w:lineRule="exact"/>
        <w:rPr>
          <w:sz w:val="20"/>
          <w:szCs w:val="20"/>
          <w:color w:val="auto"/>
        </w:rPr>
      </w:pPr>
    </w:p>
    <w:p>
      <w:pPr>
        <w:ind w:right="400" w:firstLine="749"/>
        <w:spacing w:after="0" w:line="243" w:lineRule="auto"/>
        <w:rPr>
          <w:sz w:val="20"/>
          <w:szCs w:val="20"/>
          <w:color w:val="auto"/>
        </w:rPr>
      </w:pPr>
      <w:r>
        <w:rPr>
          <w:rFonts w:ascii="Arial" w:cs="Arial" w:eastAsia="Arial" w:hAnsi="Arial"/>
          <w:sz w:val="18"/>
          <w:szCs w:val="18"/>
          <w:color w:val="auto"/>
        </w:rPr>
        <w:t xml:space="preserve">While we achieve revenue from our products in the U.S. and through distribution of eteplirsen, golodirsen and casimersen through our EAP outside the U.S., we are likely to continue to incur operating losses in the near term associated with our ongoing operations, research and development activities and potential business development activities. For more information about our revenues and operating losses,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188"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As of December 31, 2021, we had approximately $2,125.8 million of cash, cash equivalents and investments, consisting of $2,115.9 million of cash and cash equivalents and $9.9 million of long-term restricted cash and investments. We believe that our balance of cash, cash equivalents and investments is sufficient to fund our current operational plan for at least the next twelve months. In addition to pursuing additional cash resources through public or private financings, we may also seek to enter into contracts, including collaborations or licensing agreements with respect to our technologies, with third parties, including government entities.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08"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 xml:space="preserve">We make available free of charge through our corporate website, </w:t>
      </w:r>
      <w:r>
        <w:rPr>
          <w:rFonts w:ascii="Arial" w:cs="Arial" w:eastAsia="Arial" w:hAnsi="Arial"/>
          <w:sz w:val="18"/>
          <w:szCs w:val="18"/>
          <w:u w:val="single" w:color="auto"/>
          <w:color w:val="auto"/>
        </w:rPr>
        <w:t>www.sarepta.com</w:t>
      </w:r>
      <w:r>
        <w:rPr>
          <w:rFonts w:ascii="Arial" w:cs="Arial" w:eastAsia="Arial" w:hAnsi="Arial"/>
          <w:sz w:val="18"/>
          <w:szCs w:val="18"/>
          <w:color w:val="auto"/>
        </w:rPr>
        <w:t>, our annual reports, quarterly reports, current reports, proxy statements and all amendments to those reports as soon as reasonably practicable after such material is electronically filed or furnished with the SEC. These reports may also be obtained without charge by submitting a written request via mail to Investor Relations, Sarepta Therapeutics, Inc., 215 First Street, Suite 415, Cambridge, MA 02142 or by e-mail to investorrelations@sarepta.com. Our internet website and the information contained therein or incorporated therein are not intended to be incorporated into this Annual Report on Form 10-K. In addition, the Securities and Exchange Commission (the “SEC”) maintains an Internet site that contains reports, proxy and information statements, and other information regarding reports that we file or furnish electronically with the SEC at www.sec.gov.</w:t>
      </w:r>
    </w:p>
    <w:p>
      <w:pPr>
        <w:spacing w:after="0" w:line="191"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We have adopted a Code of Business Conduct and Ethics and written charters for our Audit Committee, Compensation Committee and Nominating and Corporate Governance Committee. Each of the foregoing is available on our website at www.sarepta.com under “For Investors— Corporate Governance.” In accordance with SEC rules, we intend to disclose any amendment (other than any technical, administrative, or other non-substantive amendment) to the above code, or any waiver of any provision thereof with respect to any of our executive officers, on our website within four business days following such amendment or waiver. In addition, we may use our website as a means of disclosing material non-public information and for complying with our disclosure obligations under Regulation Fair Disclosure promulgated by the SEC. These disclosures will be included on our website under the “For Investors” section.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08" w:lineRule="exact"/>
        <w:rPr>
          <w:sz w:val="20"/>
          <w:szCs w:val="20"/>
          <w:color w:val="auto"/>
        </w:rPr>
      </w:pPr>
    </w:p>
    <w:p>
      <w:pPr>
        <w:ind w:firstLine="749"/>
        <w:spacing w:after="0"/>
        <w:rPr>
          <w:sz w:val="20"/>
          <w:szCs w:val="20"/>
          <w:color w:val="auto"/>
        </w:rPr>
      </w:pPr>
      <w:r>
        <w:rPr>
          <w:rFonts w:ascii="Arial" w:cs="Arial" w:eastAsia="Arial" w:hAnsi="Arial"/>
          <w:sz w:val="18"/>
          <w:szCs w:val="18"/>
          <w:i w:val="1"/>
          <w:iCs w:val="1"/>
          <w:color w:val="auto"/>
        </w:rPr>
        <w:t>Set forth below and elsewhere in this report and in other documents we file with the SEC are descriptions of risks and uncertainties that could cause actual results to differ materially from the results contemplated by the forward-looking statements contained in this report. Because of the following factors, as well as other variables affecting our operating results, past financial performance should not be considered a reliable indicator of future performance and investors should not use historical trends to anticipate results or trends in future periods. The risks and uncertainties described below are not the only ones facing us. Other events that we do not currently anticipate or that we currently deem immaterial also affect our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b w:val="1"/>
          <w:bCs w:val="1"/>
          <w:i w:val="1"/>
          <w:iCs w:val="1"/>
          <w:color w:val="auto"/>
        </w:rPr>
        <w:t>We are highly dependent on the commercial success of our products in the U.S. and we may not be able to meet expectations with respect to sales of our products or attain profitability and positive cash-flow from operations.</w:t>
      </w:r>
    </w:p>
    <w:p>
      <w:pPr>
        <w:spacing w:after="0" w:line="63"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The FDA granted accelerated approval for EXONDYS 51, VYONDYS 53 and AMONDYS 45, as therapeutic treatments for Duchenne in patients who have a confirmed mutation in the dystrophin gene that is amenable to exon 51, exon 53 and exon 45 skipping, respectively. EXONDYS 51 is currently commercially available in the U.S. and Israel only, and VYONDYS 53 and AMONDYS 45 are currently commercially available in the U.S. only, although they are available in additional countries through our EAP. The commercial success of our products continues to depend on a number of factors attributable to one of our products or the products of our competitors, including, but not limited to:</w:t>
      </w:r>
    </w:p>
    <w:p>
      <w:pPr>
        <w:spacing w:after="0" w:line="66" w:lineRule="exact"/>
        <w:rPr>
          <w:sz w:val="20"/>
          <w:szCs w:val="20"/>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managed markets, marketing efforts and support for our products;</w:t>
      </w:r>
    </w:p>
    <w:p>
      <w:pPr>
        <w:spacing w:after="0" w:line="103" w:lineRule="exact"/>
        <w:rPr>
          <w:rFonts w:ascii="Arial" w:cs="Arial" w:eastAsia="Arial" w:hAnsi="Arial"/>
          <w:sz w:val="18"/>
          <w:szCs w:val="18"/>
          <w:color w:val="auto"/>
        </w:rPr>
      </w:pPr>
    </w:p>
    <w:p>
      <w:pPr>
        <w:ind w:left="1260" w:right="360" w:hanging="503"/>
        <w:spacing w:after="0" w:line="248"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generation and dissemination of new data analyses and the consistency of any new data with prior results, whether they support a favorable safety, efficacy and effectiveness profile of our products and any potential impact on our FDA accelerated approval status and/or FDA package insert for our products;</w:t>
      </w:r>
    </w:p>
    <w:p>
      <w:pPr>
        <w:spacing w:after="0" w:line="73" w:lineRule="exact"/>
        <w:rPr>
          <w:rFonts w:ascii="Arial" w:cs="Arial" w:eastAsia="Arial" w:hAnsi="Arial"/>
          <w:sz w:val="18"/>
          <w:szCs w:val="18"/>
          <w:color w:val="auto"/>
        </w:rPr>
      </w:pPr>
    </w:p>
    <w:p>
      <w:pPr>
        <w:ind w:left="1260" w:right="100" w:hanging="503"/>
        <w:spacing w:after="0" w:line="324"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effectiveness of our ongoing commercialization activities, including negotiating and entering into any additional commercial, supply and distribution contracts, ongoing manufacturing efforts and hiring any additional personnel as needed to support commercial efforts;</w:t>
      </w:r>
    </w:p>
    <w:p>
      <w:pPr>
        <w:spacing w:after="0" w:line="16" w:lineRule="exact"/>
        <w:rPr>
          <w:rFonts w:ascii="Arial" w:cs="Arial" w:eastAsia="Arial" w:hAnsi="Arial"/>
          <w:sz w:val="16"/>
          <w:szCs w:val="16"/>
          <w:color w:val="auto"/>
        </w:rPr>
      </w:pPr>
    </w:p>
    <w:p>
      <w:pPr>
        <w:ind w:left="1260" w:right="380" w:hanging="503"/>
        <w:spacing w:after="0" w:line="294"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timely comply with FDA post-marketing requirements and commitments, including through successfully conducting additional studies that confirm clinical efficacy, effectiveness and safety of our products and acceptance of the same by the FDA and medical community since continued approval may be contingent upon verification of a clinical benefit in confirmatory trials;</w:t>
      </w:r>
    </w:p>
    <w:p>
      <w:pPr>
        <w:spacing w:after="0" w:line="39" w:lineRule="exact"/>
        <w:rPr>
          <w:rFonts w:ascii="Arial" w:cs="Arial" w:eastAsia="Arial" w:hAnsi="Arial"/>
          <w:sz w:val="16"/>
          <w:szCs w:val="16"/>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any side effects, adverse reactions or misuse, or any unfavorable publicity in these areas;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generation of evidence describing payers, patients and/or societal value of our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can consistently manufacture our products and product candidates at acceptable costs;</w:t>
      </w:r>
    </w:p>
    <w:p>
      <w:pPr>
        <w:spacing w:after="0" w:line="103" w:lineRule="exact"/>
        <w:rPr>
          <w:rFonts w:ascii="Arial" w:cs="Arial" w:eastAsia="Arial" w:hAnsi="Arial"/>
          <w:sz w:val="18"/>
          <w:szCs w:val="18"/>
          <w:color w:val="auto"/>
        </w:rPr>
      </w:pPr>
    </w:p>
    <w:p>
      <w:pPr>
        <w:ind w:left="1260" w:right="580" w:hanging="503"/>
        <w:spacing w:after="0" w:line="26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and consistency with which our products are prescribed by physicians, which depends on physicians’ views on the safety, effectiveness and efficacy of our products;</w:t>
      </w:r>
    </w:p>
    <w:p>
      <w:pPr>
        <w:spacing w:after="0" w:line="62" w:lineRule="exact"/>
        <w:rPr>
          <w:rFonts w:ascii="Arial" w:cs="Arial" w:eastAsia="Arial" w:hAnsi="Arial"/>
          <w:sz w:val="18"/>
          <w:szCs w:val="18"/>
          <w:color w:val="auto"/>
        </w:rPr>
      </w:pPr>
    </w:p>
    <w:p>
      <w:pPr>
        <w:ind w:left="1260" w:right="80" w:hanging="503"/>
        <w:spacing w:after="0" w:line="248"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secure and maintain adequate reimbursement for our products, including the duration of the prior-authorization as well as the number and duration of re-authorization processes required for patients who initially obtained coverage by third parties, including by government payors, managed care organizations and private health insurers;</w:t>
      </w:r>
    </w:p>
    <w:p>
      <w:pPr>
        <w:spacing w:after="0" w:line="73"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for our products, to preserve our trade secrets, to prevent third parties from infringing on our proprietary rights and to operate without infringing on the proprietary rights of third parties;</w:t>
      </w:r>
    </w:p>
    <w:p>
      <w:pPr>
        <w:spacing w:after="0" w:line="62" w:lineRule="exact"/>
        <w:rPr>
          <w:rFonts w:ascii="Arial" w:cs="Arial" w:eastAsia="Arial" w:hAnsi="Arial"/>
          <w:sz w:val="18"/>
          <w:szCs w:val="18"/>
          <w:color w:val="auto"/>
        </w:rPr>
      </w:pPr>
    </w:p>
    <w:p>
      <w:pPr>
        <w:ind w:left="1260" w:right="180" w:hanging="503"/>
        <w:spacing w:after="0" w:line="26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commercialization or pricing of competing products or therapies for the treatment of Duchenne, or its symptoms, and the existence of competing clinical trials;</w:t>
      </w:r>
    </w:p>
    <w:p>
      <w:pPr>
        <w:spacing w:after="0" w:line="62" w:lineRule="exact"/>
        <w:rPr>
          <w:rFonts w:ascii="Arial" w:cs="Arial" w:eastAsia="Arial" w:hAnsi="Arial"/>
          <w:sz w:val="18"/>
          <w:szCs w:val="18"/>
          <w:color w:val="auto"/>
        </w:rPr>
      </w:pPr>
    </w:p>
    <w:p>
      <w:pPr>
        <w:ind w:left="1260" w:right="200" w:hanging="503"/>
        <w:spacing w:after="0" w:line="26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awareness of the importance of genetic testing and knowing/understanding Duchenne mutations, and identifying and addressing procedural barriers to obtaining therapy;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33" w:name="page34"/>
    <w:bookmarkEnd w:id="33"/>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remain compliant with laws and regulations that apply to us and our commercial activities;</w:t>
      </w:r>
    </w:p>
    <w:p>
      <w:pPr>
        <w:spacing w:after="0" w:line="103" w:lineRule="exact"/>
        <w:rPr>
          <w:rFonts w:ascii="Arial" w:cs="Arial" w:eastAsia="Arial" w:hAnsi="Arial"/>
          <w:sz w:val="18"/>
          <w:szCs w:val="18"/>
          <w:color w:val="auto"/>
        </w:rPr>
      </w:pPr>
    </w:p>
    <w:p>
      <w:pPr>
        <w:ind w:left="1260" w:right="120" w:hanging="503"/>
        <w:spacing w:after="0" w:line="261"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actual market-size, ability to identify patients and the demographics of patients eligible for our products, which may be different than expected;</w:t>
      </w:r>
    </w:p>
    <w:p>
      <w:pPr>
        <w:spacing w:after="0" w:line="49" w:lineRule="exact"/>
        <w:rPr>
          <w:rFonts w:ascii="Arial" w:cs="Arial" w:eastAsia="Arial" w:hAnsi="Arial"/>
          <w:sz w:val="18"/>
          <w:szCs w:val="18"/>
          <w:color w:val="auto"/>
        </w:rPr>
      </w:pPr>
    </w:p>
    <w:p>
      <w:pPr>
        <w:ind w:left="1260" w:hanging="503"/>
        <w:spacing w:after="0" w:line="228" w:lineRule="auto"/>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sufficiency of our drug supply to meet commercial and clinical demands and standards, which are negatively impacted by various factors, including when our projections on the potential number of amenable patients and their average weight are inaccurate; the potential impacts of the COVID-19 pandemic; if regulatory requirements increase our drug supply needs; if our current drug supply is destroyed or negatively impacted at our manufacturing sites, storage sites or in transit; failure to meet cGMP requirements; or if we encounter delays expanding the number of patients on our products and portions of our products’ supply expire before sale;</w:t>
      </w:r>
    </w:p>
    <w:p>
      <w:pPr>
        <w:spacing w:after="0" w:line="57" w:lineRule="exact"/>
        <w:rPr>
          <w:rFonts w:ascii="Arial" w:cs="Arial" w:eastAsia="Arial" w:hAnsi="Arial"/>
          <w:sz w:val="17"/>
          <w:szCs w:val="17"/>
          <w:color w:val="auto"/>
        </w:rPr>
      </w:pPr>
    </w:p>
    <w:p>
      <w:pPr>
        <w:ind w:left="1260" w:right="100" w:hanging="503"/>
        <w:spacing w:after="0" w:line="235"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regulatory approvals to commercialize our product candidates, and to commercialize our products in markets outside of the U.S.;</w:t>
      </w:r>
    </w:p>
    <w:p>
      <w:pPr>
        <w:spacing w:after="0" w:line="53" w:lineRule="exact"/>
        <w:rPr>
          <w:rFonts w:ascii="Arial" w:cs="Arial" w:eastAsia="Arial" w:hAnsi="Arial"/>
          <w:sz w:val="18"/>
          <w:szCs w:val="18"/>
          <w:color w:val="auto"/>
        </w:rPr>
      </w:pPr>
    </w:p>
    <w:p>
      <w:pPr>
        <w:ind w:left="1260" w:right="200" w:hanging="503"/>
        <w:spacing w:after="0" w:line="22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process leading to a patient’s first infusion of our products may be slower for certain patients. For example, the time to first infusion may take longer if a patient chooses to put in an intravenous port, which eases access to the vein. Delays in the process prior to first infusion could negatively impact the sales of our products; and</w:t>
      </w:r>
    </w:p>
    <w:p>
      <w:pPr>
        <w:spacing w:after="0" w:line="54" w:lineRule="exact"/>
        <w:rPr>
          <w:rFonts w:ascii="Arial" w:cs="Arial" w:eastAsia="Arial" w:hAnsi="Arial"/>
          <w:sz w:val="18"/>
          <w:szCs w:val="18"/>
          <w:color w:val="auto"/>
        </w:rPr>
      </w:pPr>
    </w:p>
    <w:p>
      <w:pPr>
        <w:ind w:left="1260" w:right="200" w:hanging="503"/>
        <w:spacing w:after="0" w:line="235"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by Roche of its option to obtain an exclusive license to commercialize one or more of our Duchenne products beyond SRP-9001 outside of the U.S. and Roche’s subsequent commercialization efforts.</w:t>
      </w:r>
    </w:p>
    <w:p>
      <w:pPr>
        <w:spacing w:after="0" w:line="162" w:lineRule="exact"/>
        <w:rPr>
          <w:sz w:val="20"/>
          <w:szCs w:val="20"/>
          <w:color w:val="auto"/>
        </w:rPr>
      </w:pPr>
    </w:p>
    <w:p>
      <w:pPr>
        <w:ind w:right="20" w:firstLine="749"/>
        <w:spacing w:after="0" w:line="228" w:lineRule="auto"/>
        <w:rPr>
          <w:sz w:val="20"/>
          <w:szCs w:val="20"/>
          <w:color w:val="auto"/>
        </w:rPr>
      </w:pPr>
      <w:r>
        <w:rPr>
          <w:rFonts w:ascii="Arial" w:cs="Arial" w:eastAsia="Arial" w:hAnsi="Arial"/>
          <w:sz w:val="17"/>
          <w:szCs w:val="17"/>
          <w:color w:val="auto"/>
        </w:rPr>
        <w:t>In addition, the ongoing COVID-19 pandemic has presented challenges and risks. For example, the response to COVID-19 by healthcare providers has made it difficult for some patients to receive infusions or initiate treatment with our commercial products. The need to prioritize rated orders issued by the Federal Emergency Management Agency pursuant to the U.S. Defense Production Act could also impact the manufacturing, supply chain and distribution of our products and product candidates. For this and other reasons, such as delays in processing reauthorizations and modifications to program benefits by insurers, we expect that COVID-19 will reduce our revenue from commercial product sales.</w:t>
      </w:r>
    </w:p>
    <w:p>
      <w:pPr>
        <w:spacing w:after="0" w:line="165" w:lineRule="exact"/>
        <w:rPr>
          <w:sz w:val="20"/>
          <w:szCs w:val="20"/>
          <w:color w:val="auto"/>
        </w:rPr>
      </w:pPr>
    </w:p>
    <w:p>
      <w:pPr>
        <w:ind w:right="140" w:firstLine="749"/>
        <w:spacing w:after="0" w:line="235" w:lineRule="auto"/>
        <w:rPr>
          <w:sz w:val="20"/>
          <w:szCs w:val="20"/>
          <w:color w:val="auto"/>
        </w:rPr>
      </w:pPr>
      <w:r>
        <w:rPr>
          <w:rFonts w:ascii="Arial" w:cs="Arial" w:eastAsia="Arial" w:hAnsi="Arial"/>
          <w:sz w:val="18"/>
          <w:szCs w:val="18"/>
          <w:color w:val="auto"/>
        </w:rPr>
        <w:t>We experience significant fluctuations in sales of our products from period to period and, ultimately, we may never generate sufficient revenues from our products to reach or maintain profitability or sustain our anticipated levels of operations.</w:t>
      </w:r>
    </w:p>
    <w:p>
      <w:pPr>
        <w:spacing w:after="0" w:line="270" w:lineRule="exact"/>
        <w:rPr>
          <w:sz w:val="20"/>
          <w:szCs w:val="20"/>
          <w:color w:val="auto"/>
        </w:rPr>
      </w:pPr>
    </w:p>
    <w:p>
      <w:pPr>
        <w:ind w:right="600" w:firstLine="749"/>
        <w:spacing w:after="0" w:line="289" w:lineRule="auto"/>
        <w:rPr>
          <w:sz w:val="20"/>
          <w:szCs w:val="20"/>
          <w:color w:val="auto"/>
        </w:rPr>
      </w:pPr>
      <w:r>
        <w:rPr>
          <w:rFonts w:ascii="Arial" w:cs="Arial" w:eastAsia="Arial" w:hAnsi="Arial"/>
          <w:sz w:val="16"/>
          <w:szCs w:val="16"/>
          <w:b w:val="1"/>
          <w:bCs w:val="1"/>
          <w:i w:val="1"/>
          <w:iCs w:val="1"/>
          <w:color w:val="auto"/>
        </w:rPr>
        <w:t>Even though EXONDYS 51, VYONDYS 53 and AMONDYS 45 have received accelerated approval by the FDA, they face future post-approval development and regulatory requirements, which will present additional challenges we will need to successfully navigate.</w:t>
      </w:r>
    </w:p>
    <w:p>
      <w:pPr>
        <w:spacing w:after="0" w:line="16" w:lineRule="exact"/>
        <w:rPr>
          <w:sz w:val="20"/>
          <w:szCs w:val="20"/>
          <w:color w:val="auto"/>
        </w:rPr>
      </w:pPr>
    </w:p>
    <w:p>
      <w:pPr>
        <w:ind w:right="380" w:firstLine="749"/>
        <w:spacing w:after="0" w:line="219" w:lineRule="auto"/>
        <w:rPr>
          <w:sz w:val="20"/>
          <w:szCs w:val="20"/>
          <w:color w:val="auto"/>
        </w:rPr>
      </w:pPr>
      <w:r>
        <w:rPr>
          <w:rFonts w:ascii="Arial" w:cs="Arial" w:eastAsia="Arial" w:hAnsi="Arial"/>
          <w:sz w:val="18"/>
          <w:szCs w:val="18"/>
          <w:color w:val="auto"/>
        </w:rPr>
        <w:t>The accelerated approvals for EXONDYS 51, VYONDYS 53 and AMONDYS 45 granted by the FDA were based on an increase in the surrogate biomarker of dystrophin in skeletal muscles observed in some patients treated with these products. These products will be subject to ongoing FDA requirements governing labeling, packaging, storage, advertising, promotion and recordkeeping, and we are required to submit additional safety, efficacy and other post-marketing information to the FDA.</w:t>
      </w:r>
    </w:p>
    <w:p>
      <w:pPr>
        <w:spacing w:after="0" w:line="163" w:lineRule="exact"/>
        <w:rPr>
          <w:sz w:val="20"/>
          <w:szCs w:val="20"/>
          <w:color w:val="auto"/>
        </w:rPr>
      </w:pPr>
    </w:p>
    <w:p>
      <w:pPr>
        <w:ind w:right="60" w:firstLine="749"/>
        <w:spacing w:after="0" w:line="214" w:lineRule="auto"/>
        <w:rPr>
          <w:sz w:val="20"/>
          <w:szCs w:val="20"/>
          <w:color w:val="auto"/>
        </w:rPr>
      </w:pPr>
      <w:r>
        <w:rPr>
          <w:rFonts w:ascii="Arial" w:cs="Arial" w:eastAsia="Arial" w:hAnsi="Arial"/>
          <w:sz w:val="18"/>
          <w:szCs w:val="18"/>
          <w:color w:val="auto"/>
        </w:rPr>
        <w:t>Under the accelerated approval pathway, continued approval may be contingent upon verification of a clinical benefit in confirmatory trials. These post-approval requirements and commitments may not be feasible and/or could impose significant burdens and costs on us; could negatively impact our development, manufacturing and supply of our products; and could negatively impact our financial results. Failure to meet post-approval commitments and requirements, including completion of enrollment and in particular, any failure to obtain positive safety and efficacy data from our ongoing and planned studies of our products, would lead to negative regulatory action from the FDA and/or withdrawal of regulatory approval of EXONDYS 51, VYONDYS 53 or AMONDYS 45.</w:t>
      </w:r>
    </w:p>
    <w:p>
      <w:pPr>
        <w:spacing w:after="0" w:line="175" w:lineRule="exact"/>
        <w:rPr>
          <w:sz w:val="20"/>
          <w:szCs w:val="20"/>
          <w:color w:val="auto"/>
        </w:rPr>
      </w:pPr>
    </w:p>
    <w:p>
      <w:pPr>
        <w:ind w:right="140" w:firstLine="749"/>
        <w:spacing w:after="0" w:line="270" w:lineRule="auto"/>
        <w:rPr>
          <w:sz w:val="20"/>
          <w:szCs w:val="20"/>
          <w:color w:val="auto"/>
        </w:rPr>
      </w:pPr>
      <w:r>
        <w:rPr>
          <w:rFonts w:ascii="Arial" w:cs="Arial" w:eastAsia="Arial" w:hAnsi="Arial"/>
          <w:sz w:val="16"/>
          <w:szCs w:val="16"/>
          <w:color w:val="auto"/>
        </w:rPr>
        <w:t>Manufacturers of drug products and their facilities are subject to continual review and periodic inspections by the FDA and other regulatory authorities for compliance with cGMP regulations. Drug product manufacturers are required to continuously monitor and report adverse events from clinical trials and commercial use of the product. If we or a regulatory agency discover previously unknown adverse events or events of unanticipated severity or frequency, a regulatory agency may require labeling changes, implementation of risk evaluation and mitigation strategy program, or additional post-marketing studies or clinical trials. If we or a regulatory agency discover previously unknown problems with a product, such as problems with a facility where the API or drug product is manufactured or tested, a regulatory agency may impose restrictions on that product and/or the manufacturer, including removal of specific product lots from the market, withdrawal of the product from the market, suspension of manufacturing or suspension of clinical trials using the same manufacturing materials. Sponsors of drugs approved under FDA accelerated approval provisions also are required to submit to the FDA, at least 30 days before initial use, all promotional materials intended for use after the first 120 days following marketing approval. Failure by us or the manufacturing facilities for our products to comply with applicable regulatory requirements, may lead a regulatory agency to:</w:t>
      </w:r>
    </w:p>
    <w:p>
      <w:pPr>
        <w:spacing w:after="0" w:line="63"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or alter the conditions of our marketing approval;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1260" w:right="40" w:hanging="503"/>
        <w:spacing w:after="0" w:line="261"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 or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320"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b w:val="1"/>
          <w:bCs w:val="1"/>
          <w:i w:val="1"/>
          <w:iCs w:val="1"/>
          <w:color w:val="auto"/>
        </w:rPr>
        <w:t>We are subject to uncertainty relating to reimbursement policies which, if not favorable, could hinder or prevent the commercial success of our products and/or product candidates.</w:t>
      </w:r>
    </w:p>
    <w:p>
      <w:pPr>
        <w:spacing w:after="0" w:line="63" w:lineRule="exact"/>
        <w:rPr>
          <w:sz w:val="20"/>
          <w:szCs w:val="20"/>
          <w:color w:val="auto"/>
        </w:rPr>
      </w:pPr>
    </w:p>
    <w:p>
      <w:pPr>
        <w:ind w:right="180" w:firstLine="749"/>
        <w:spacing w:after="0" w:line="284" w:lineRule="auto"/>
        <w:rPr>
          <w:sz w:val="20"/>
          <w:szCs w:val="20"/>
          <w:color w:val="auto"/>
        </w:rPr>
      </w:pPr>
      <w:r>
        <w:rPr>
          <w:rFonts w:ascii="Arial" w:cs="Arial" w:eastAsia="Arial" w:hAnsi="Arial"/>
          <w:sz w:val="16"/>
          <w:szCs w:val="16"/>
          <w:color w:val="auto"/>
        </w:rPr>
        <w:t>Our ability to successfully maintain and/or increase sales of our products in the U.S. depends in part on the coverage and reimbursement levels set by governmental authorities, private health insurers and other third-party payors. Third party payors are increasingly challenging the effectiveness of and prices charged for medical products and services. We may not be able to obtain or maintain adequate third-party coverage or reimbursement for our products, and/or we may be required to provide discounts or rebates on our products in order to obtain or maintain adequate coverage.</w:t>
      </w:r>
    </w:p>
    <w:p>
      <w:pPr>
        <w:spacing w:after="0" w:line="155" w:lineRule="exact"/>
        <w:rPr>
          <w:sz w:val="20"/>
          <w:szCs w:val="20"/>
          <w:color w:val="auto"/>
        </w:rPr>
      </w:pPr>
    </w:p>
    <w:p>
      <w:pPr>
        <w:ind w:right="140" w:firstLine="749"/>
        <w:spacing w:after="0" w:line="252" w:lineRule="auto"/>
        <w:rPr>
          <w:sz w:val="20"/>
          <w:szCs w:val="20"/>
          <w:color w:val="auto"/>
        </w:rPr>
      </w:pPr>
      <w:r>
        <w:rPr>
          <w:rFonts w:ascii="Arial" w:cs="Arial" w:eastAsia="Arial" w:hAnsi="Arial"/>
          <w:sz w:val="17"/>
          <w:szCs w:val="17"/>
          <w:color w:val="auto"/>
        </w:rPr>
        <w:t>We expect that private insurers will continue to consider the efficacy, effectiveness, cost-effectiveness and safety of our products, including any new data and analyses that we are able to collect and make available in a compliant manner, in determining whether to approve reimbursement for our products and at what levels. If there are considerable delays in the generation of new evidence or if any new data and information we collect is not favorable, third party insurers may make coverage decisions that negatively impact sales of our products. We continue to have discussions with payors, some of which may eventually deny coverage. We may not receive approval for reimbursement of our products from additional insurers on a satisfactory rate or basis, in which case our business would be materially adversely affected. In addition, obtaining these approvals can be a time consuming and expensive process. Our business would be materially adversely affected if we are not able to maintain favorable coverage decisions and/or fail to receive additional favorable coverage decisions from third party insurers, in particular during re-authorization processes for patients that have already initiated therapy. Our business could also be adversely affected if government health programs, private health insurers, including managed care organizations, or other reimbursement bodies or payors limit the indications for which our products will be reimbursed or fail to recognize accelerated approval and surrogate endpoints as clinically meaningful.</w:t>
      </w:r>
    </w:p>
    <w:p>
      <w:pPr>
        <w:spacing w:after="0" w:line="186" w:lineRule="exact"/>
        <w:rPr>
          <w:sz w:val="20"/>
          <w:szCs w:val="20"/>
          <w:color w:val="auto"/>
        </w:rPr>
      </w:pPr>
    </w:p>
    <w:p>
      <w:pPr>
        <w:jc w:val="both"/>
        <w:ind w:right="120" w:firstLine="749"/>
        <w:spacing w:after="0" w:line="279" w:lineRule="auto"/>
        <w:rPr>
          <w:sz w:val="20"/>
          <w:szCs w:val="20"/>
          <w:color w:val="auto"/>
        </w:rPr>
      </w:pPr>
      <w:r>
        <w:rPr>
          <w:rFonts w:ascii="Arial" w:cs="Arial" w:eastAsia="Arial" w:hAnsi="Arial"/>
          <w:sz w:val="16"/>
          <w:szCs w:val="16"/>
          <w:color w:val="auto"/>
        </w:rPr>
        <w:t>In addition, the impact of the ongoing COVID-19 pandemic has resulted in delays in processing reauthorizations and modifications to program benefits by insurers, making it difficult for patients to obtain or maintain favorable coverage decisions for our products. Furthermore, we cannot predict to what extent the COVID-19 pandemic, depending on its scale and duration,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would adversely affect access to our products and our net sales.</w:t>
      </w:r>
    </w:p>
    <w:p>
      <w:pPr>
        <w:spacing w:after="0" w:line="159"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In some foreign countries, particularly Canada and the countries of Europe, Latin America and Asia Pacific, the pricing of prescription pharmaceuticals is subject to strict governmental control. In these countries, pricing negotiations with governmental authorities can take 12 to 24 months or longer after the receipt of regulatory approval and product launch. In order to obtain favorable reimbursement for the indications sought or pricing approval in some countries, we may be required to collect additional data, including conducting additional studies. Furthermore, several countries around the world have implemented government measures to either freeze or reduce pricing of pharmaceutical products. If reimbursement for our products is unavailable in any country in which reimbursement is sought, limited in scope or amount, or if pricing is set at unsatisfactory levels, our business could be materially harmed. In addition, many foreign countries are referencing to other countries’ official public list price, hence an unsatisfactory price level in one country could consequently impinge negatively upon overall revenue.</w:t>
      </w:r>
    </w:p>
    <w:p>
      <w:pPr>
        <w:spacing w:after="0" w:line="181"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We expect to experience pricing pressures in connection with the sale of our current and future products due to a number of factors, including current and future healthcare reforms and initiatives by government health programs and private insurers (including managed care plans) to reduce healthcare costs, the scrutiny of pharmaceutical pricing, the ongoing debates on reducing government spending and additional legislative proposals. These healthcare reform efforts or any future legislation or regulatory actions aimed at controlling and reducing healthcare costs, including through measures designed to limit reimbursement, restrict access or impose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420"/>
        <w:spacing w:after="0" w:line="261" w:lineRule="auto"/>
        <w:rPr>
          <w:sz w:val="20"/>
          <w:szCs w:val="20"/>
          <w:color w:val="auto"/>
        </w:rPr>
      </w:pPr>
      <w:r>
        <w:rPr>
          <w:rFonts w:ascii="Arial" w:cs="Arial" w:eastAsia="Arial" w:hAnsi="Arial"/>
          <w:sz w:val="18"/>
          <w:szCs w:val="18"/>
          <w:color w:val="auto"/>
        </w:rPr>
        <w:t>unfavorable pricing modifications on pharmaceutical products, could impact our and our partners’ ability to obtain or maintain reimbursement for our products at satisfactory levels, or at all, which could materially harm our business and financial results.</w:t>
      </w:r>
    </w:p>
    <w:p>
      <w:pPr>
        <w:spacing w:after="0" w:line="171"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Additionally, our gene therapy product candidates represent novel approaches to treatment that will call for new levels of innovation in both pricing, reimbursement, payment and drug access strategies. Current reimbursement models may not accommodate the unique factors of our gene therapy product candidates, including high up-front costs, lack of long-term efficacy and safety data and fees associated with complex administration, dosing and patient monitoring requirements. Hence, it may be necessary to restructure approaches to payment, pricing strategies and traditional payment models to support these therapies.</w:t>
      </w:r>
    </w:p>
    <w:p>
      <w:pPr>
        <w:spacing w:after="0" w:line="189"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downward pressure on healthcare costs in general has become intense. As a result, increasingly high barriers are being erected to the entry of new products. If we are unable to obtain adequate levels of reimbursement, our ability to successfully market and sell our products and product candidates will be harmed. The manner and level at which reimbursement is provided for services related to our products and product candidates (e.g., for administration of our products to patients) is also important. Inadequate reimbursement for such services may lead to physician resistance and limit our ability to market or sell our products.</w:t>
      </w:r>
    </w:p>
    <w:p>
      <w:pPr>
        <w:spacing w:after="0" w:line="297" w:lineRule="exact"/>
        <w:rPr>
          <w:sz w:val="20"/>
          <w:szCs w:val="20"/>
          <w:color w:val="auto"/>
        </w:rPr>
      </w:pPr>
    </w:p>
    <w:p>
      <w:pPr>
        <w:ind w:right="780" w:firstLine="749"/>
        <w:spacing w:after="0" w:line="261" w:lineRule="auto"/>
        <w:rPr>
          <w:sz w:val="20"/>
          <w:szCs w:val="20"/>
          <w:color w:val="auto"/>
        </w:rPr>
      </w:pPr>
      <w:r>
        <w:rPr>
          <w:rFonts w:ascii="Arial" w:cs="Arial" w:eastAsia="Arial" w:hAnsi="Arial"/>
          <w:sz w:val="18"/>
          <w:szCs w:val="18"/>
          <w:b w:val="1"/>
          <w:bCs w:val="1"/>
          <w:i w:val="1"/>
          <w:iCs w:val="1"/>
          <w:color w:val="auto"/>
        </w:rPr>
        <w:t>Healthcare policy reform and other governmental and private payor initiatives may have an adverse effect upon, and could prevent commercial success of our products and product candidates.</w:t>
      </w:r>
    </w:p>
    <w:p>
      <w:pPr>
        <w:spacing w:after="0" w:line="63" w:lineRule="exact"/>
        <w:rPr>
          <w:sz w:val="20"/>
          <w:szCs w:val="20"/>
          <w:color w:val="auto"/>
        </w:rPr>
      </w:pPr>
    </w:p>
    <w:p>
      <w:pPr>
        <w:ind w:right="80" w:firstLine="749"/>
        <w:spacing w:after="0" w:line="268" w:lineRule="auto"/>
        <w:rPr>
          <w:sz w:val="20"/>
          <w:szCs w:val="20"/>
          <w:color w:val="auto"/>
        </w:rPr>
      </w:pPr>
      <w:r>
        <w:rPr>
          <w:rFonts w:ascii="Arial" w:cs="Arial" w:eastAsia="Arial" w:hAnsi="Arial"/>
          <w:sz w:val="16"/>
          <w:szCs w:val="16"/>
          <w:color w:val="auto"/>
        </w:rPr>
        <w:t>The U.S. government and individual states continue to aggressively pursue healthcare reform, as evidenced by efforts in recent years to modify or repeal the Affordable Care Act and ongoing attempts to control and/or lower the cost of prescription drugs and biologics. The Affordable Care Act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The Affordable Care Act has been subject to modification and additional modifications may occur. There are, and may continue to be, judicial challenges to those efforts. Legislative, Administrative, and private payor efforts to control drug costs span a range of proposals, including drug price negotiation, Medicare Part D redesign, drug price inflation rebates, international mechanisms, generic drug promotion and anticompetitive behavior, manufacturer reporting, and reforms that could impact therapies utilizing the accelerated approval pathway. We cannot predict the ultimate content, timing or effect of any changes to the Affordable Care Act or other federal and state healthcare policy reform efforts including those aimed at drug pricing. There is no assurance that federal or state health care reform will not adversely affect our future business and financial results, and we cannot predict how future federal or state legislative, judicial or administrative changes relating to healthcare policy will affect our business.</w:t>
      </w:r>
    </w:p>
    <w:p>
      <w:pPr>
        <w:spacing w:after="0" w:line="175"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cost-containment programs to limit the growth of government-paid healthcare costs, including price controls, waiver from Medicaid drug rebate law requirements, restrictions on reimbursement and requirements for substitution of generic products for branded prescription drugs and the introduction of international reference pricing in the U.S. We anticipate that the U.S. Congress, state legislatures and the private sector will continue to consider and may adopt healthcare policies intended to curb rising healthcare costs. These cost containment measures may include implementation or modification of:</w:t>
      </w:r>
    </w:p>
    <w:p>
      <w:pPr>
        <w:spacing w:after="0" w:line="51" w:lineRule="exact"/>
        <w:rPr>
          <w:sz w:val="20"/>
          <w:szCs w:val="20"/>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caps or mandatory discounts under certain government sponsored programs;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controls on healthcare providers;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to the pricing of drugs or limits or prohibitions on reimbursement for specific products through other means;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reform of drug importation laws;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delegation of decision making to state Medicaid agencies and waiver of reimbursement requirements;</w:t>
      </w:r>
    </w:p>
    <w:p>
      <w:pPr>
        <w:spacing w:after="0" w:line="103"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use of managed care systems in which healthcare providers contract to provide comprehensive healthcare for a fixed cost per person;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prohibition on direct-to-consumer advertising or drug marketing practices.</w:t>
      </w:r>
    </w:p>
    <w:p>
      <w:pPr>
        <w:spacing w:after="0" w:line="212"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6" w:name="page37"/>
    <w:bookmarkEnd w:id="36"/>
    <w:p>
      <w:pPr>
        <w:ind w:right="220"/>
        <w:spacing w:after="0" w:line="248" w:lineRule="auto"/>
        <w:rPr>
          <w:sz w:val="20"/>
          <w:szCs w:val="20"/>
          <w:color w:val="auto"/>
        </w:rPr>
      </w:pPr>
      <w:r>
        <w:rPr>
          <w:rFonts w:ascii="Arial" w:cs="Arial" w:eastAsia="Arial" w:hAnsi="Arial"/>
          <w:sz w:val="18"/>
          <w:szCs w:val="18"/>
          <w:color w:val="auto"/>
        </w:rPr>
        <w:t>our business. Any cost containment measures, including those listed above, or other healthcare system reforms that are adopted, could significantly decrease the available coverage and the price we might establish for our products and product candidates, which would have an adverse effect on our net revenues and operating results.</w:t>
      </w:r>
    </w:p>
    <w:p>
      <w:pPr>
        <w:spacing w:after="0" w:line="290"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b w:val="1"/>
          <w:bCs w:val="1"/>
          <w:i w:val="1"/>
          <w:iCs w:val="1"/>
          <w:color w:val="auto"/>
        </w:rPr>
        <w:t>Our products may not be widely adopted by patients, payors or healthcare providers, which would adversely impact our potential profitability and future business prospects.</w:t>
      </w:r>
    </w:p>
    <w:p>
      <w:pPr>
        <w:spacing w:after="0" w:line="63"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The commercial success of our products, particularly in the U.S., depends upon the level of market adoption by patients, payors and healthcare providers. If our products do not achieve an adequate level of market adoption for any reason, or if market adoption does not persist, our potential profitability and our future business prospects will be severely adversely impacted. The degree of market acceptance of our products depends on a number of factors, including:</w:t>
      </w:r>
    </w:p>
    <w:p>
      <w:pPr>
        <w:spacing w:after="0" w:line="80" w:lineRule="exact"/>
        <w:rPr>
          <w:sz w:val="20"/>
          <w:szCs w:val="20"/>
          <w:color w:val="auto"/>
        </w:rPr>
      </w:pPr>
    </w:p>
    <w:p>
      <w:pPr>
        <w:ind w:left="1260" w:right="320" w:hanging="503"/>
        <w:spacing w:after="0" w:line="324" w:lineRule="auto"/>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demonstrate to the medical and payor community, including specialists who may purchase or prescribe our products, the clinical efficacy, effectiveness and safety of our products as the prescription products of choice for their respective indications;</w:t>
      </w:r>
    </w:p>
    <w:p>
      <w:pPr>
        <w:spacing w:after="0" w:line="16" w:lineRule="exact"/>
        <w:rPr>
          <w:rFonts w:ascii="Arial" w:cs="Arial" w:eastAsia="Arial" w:hAnsi="Arial"/>
          <w:sz w:val="16"/>
          <w:szCs w:val="16"/>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organizations and distribution networks;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patients or providers to be adequately reimbursed for our products in a timely manner from government and private payors;</w:t>
      </w:r>
    </w:p>
    <w:p>
      <w:pPr>
        <w:spacing w:after="0" w:line="126" w:lineRule="exact"/>
        <w:rPr>
          <w:rFonts w:ascii="Arial" w:cs="Arial" w:eastAsia="Arial" w:hAnsi="Arial"/>
          <w:sz w:val="16"/>
          <w:szCs w:val="16"/>
          <w:color w:val="auto"/>
        </w:rPr>
      </w:pPr>
    </w:p>
    <w:p>
      <w:pPr>
        <w:ind w:left="1260" w:right="120" w:hanging="503"/>
        <w:spacing w:after="0" w:line="261"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timely demonstrate to the satisfaction of payors real world effectiveness and the economic, humanistic and societal benefits of our products;</w:t>
      </w:r>
    </w:p>
    <w:p>
      <w:pPr>
        <w:spacing w:after="0" w:line="62" w:lineRule="exact"/>
        <w:rPr>
          <w:rFonts w:ascii="Arial" w:cs="Arial" w:eastAsia="Arial" w:hAnsi="Arial"/>
          <w:sz w:val="18"/>
          <w:szCs w:val="18"/>
          <w:color w:val="auto"/>
        </w:rPr>
      </w:pPr>
    </w:p>
    <w:p>
      <w:pPr>
        <w:ind w:left="1260" w:right="160" w:hanging="503"/>
        <w:spacing w:after="0" w:line="270"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actual and perceived efficacy and safety profile of our products, particularly if unanticipated adverse events related to our products’ treatment arise and create safety concerns among potential patients or prescribers or if new data and analyses we obtain for our products do not support, or are interpreted by some parties to not support, the efficacy of our products; and</w:t>
      </w:r>
    </w:p>
    <w:p>
      <w:pPr>
        <w:spacing w:after="0" w:line="55" w:lineRule="exact"/>
        <w:rPr>
          <w:rFonts w:ascii="Arial" w:cs="Arial" w:eastAsia="Arial" w:hAnsi="Arial"/>
          <w:sz w:val="17"/>
          <w:szCs w:val="17"/>
          <w:color w:val="auto"/>
        </w:rPr>
      </w:pPr>
    </w:p>
    <w:p>
      <w:pPr>
        <w:ind w:left="1260" w:hanging="503"/>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efficacy and safety of our other exon-skipping and gene therapy product candidates and third parties’ competitive therapies.</w:t>
      </w:r>
    </w:p>
    <w:p>
      <w:pPr>
        <w:spacing w:after="0" w:line="3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not be able to expand the global footprint of our products outside of the U.S.</w:t>
      </w:r>
    </w:p>
    <w:p>
      <w:pPr>
        <w:spacing w:after="0" w:line="104"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Even though EXONDYS 51 was approved for marketing in the U.S. and in Israel, and VYONDYS 53 and AMONDYS 45 were approved for marketing in the U.S., we may not receive approval to commercialize these products in additional countries. In November 2016, we submitted a MAA for eteplirsen to the EMA and the application was validated in December 2016. As we announced on June 1, 2018, the CHMP of the EMA adopted a negative opinion for eteplirsen. In September 2018, the CHMP of the EMA confirmed its negative opinion for eteplirsen, and the EC adopted the CHMP opinion in December 2018.</w:t>
      </w:r>
    </w:p>
    <w:p>
      <w:pPr>
        <w:spacing w:after="0" w:line="189"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order to market any product in a country outside of the U.S., we must comply with numerous and varying regulatory requirements for approval in those countries regarding demonstration of evidence of the product’s safety and efficacy and governing, among other things, labeling, distribution, advertising, and promotion, as well as pricing and reimbursement of the product. Obtaining marketing approval in a country outside of the U.S. is an extensive, lengthy, expensive and uncertain process, and the regulatory authority may reject an application or delay, limit or deny approval of any of our products for many reasons, including:</w:t>
      </w:r>
    </w:p>
    <w:p>
      <w:pPr>
        <w:spacing w:after="0" w:line="81" w:lineRule="exact"/>
        <w:rPr>
          <w:sz w:val="20"/>
          <w:szCs w:val="20"/>
          <w:color w:val="auto"/>
        </w:rPr>
      </w:pPr>
    </w:p>
    <w:p>
      <w:pPr>
        <w:ind w:left="1260" w:hanging="503"/>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not be able to demonstrate to the satisfaction of regulatory authorities outside the U.S. the risk benefit of our products;</w:t>
      </w:r>
    </w:p>
    <w:p>
      <w:pPr>
        <w:spacing w:after="0" w:line="115" w:lineRule="exact"/>
        <w:rPr>
          <w:rFonts w:ascii="Arial" w:cs="Arial" w:eastAsia="Arial" w:hAnsi="Arial"/>
          <w:sz w:val="17"/>
          <w:szCs w:val="17"/>
          <w:color w:val="auto"/>
        </w:rPr>
      </w:pPr>
    </w:p>
    <w:p>
      <w:pPr>
        <w:ind w:left="1260" w:right="38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or clinical significance required for approval by regulatory authorities outside the U.S.;</w:t>
      </w:r>
    </w:p>
    <w:p>
      <w:pPr>
        <w:spacing w:after="0" w:line="62" w:lineRule="exact"/>
        <w:rPr>
          <w:rFonts w:ascii="Arial" w:cs="Arial" w:eastAsia="Arial" w:hAnsi="Arial"/>
          <w:sz w:val="18"/>
          <w:szCs w:val="18"/>
          <w:color w:val="auto"/>
        </w:rPr>
      </w:pPr>
    </w:p>
    <w:p>
      <w:pPr>
        <w:ind w:left="1260" w:right="40" w:hanging="503"/>
        <w:spacing w:after="0" w:line="291" w:lineRule="auto"/>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outside the U.S. may disagree with the adequacy (number, design, size, controls, conduct or implementation) of our clinical trials prior to granting approval, and we may not be able to generate the required data on a timely basis, or at all;</w:t>
      </w:r>
    </w:p>
    <w:p>
      <w:pPr>
        <w:spacing w:after="0" w:line="38" w:lineRule="exact"/>
        <w:rPr>
          <w:rFonts w:ascii="Arial" w:cs="Arial" w:eastAsia="Arial" w:hAnsi="Arial"/>
          <w:sz w:val="17"/>
          <w:szCs w:val="17"/>
          <w:color w:val="auto"/>
        </w:rPr>
      </w:pPr>
    </w:p>
    <w:p>
      <w:pPr>
        <w:ind w:left="1260" w:right="40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outside the U.S. may conclude that data we submit to them fail to demonstrate an appropriate level of safety or efficacy of our products, or that our products’ respective clinical benefits outweigh their safety risks;</w:t>
      </w:r>
    </w:p>
    <w:p>
      <w:pPr>
        <w:spacing w:after="0" w:line="62"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outside the U.S. may not accept data generated at our clinical trial sites or require us to generate additional data or information;</w:t>
      </w:r>
    </w:p>
    <w:p>
      <w:pPr>
        <w:spacing w:after="0" w:line="62" w:lineRule="exact"/>
        <w:rPr>
          <w:rFonts w:ascii="Arial" w:cs="Arial" w:eastAsia="Arial" w:hAnsi="Arial"/>
          <w:sz w:val="18"/>
          <w:szCs w:val="18"/>
          <w:color w:val="auto"/>
        </w:rPr>
      </w:pPr>
    </w:p>
    <w:p>
      <w:pPr>
        <w:ind w:left="1260" w:right="46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outside the U.S. may impose limitations or restrictions on the approved labeling of our products, thus limiting intended users or providing an additional hurdle for market acceptance of the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7" w:name="page38"/>
    <w:bookmarkEnd w:id="37"/>
    <w:p>
      <w:pPr>
        <w:ind w:left="1260" w:right="720" w:hanging="503"/>
        <w:spacing w:after="0" w:line="261"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outside the U.S. may identify deficiencies in the manufacturing processes, or may require us to change our manufacturing process or specifications;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outside the U.S. may adopt new or revised approval policies and regulations.</w:t>
      </w:r>
    </w:p>
    <w:p>
      <w:pPr>
        <w:spacing w:after="0" w:line="212" w:lineRule="exact"/>
        <w:rPr>
          <w:sz w:val="20"/>
          <w:szCs w:val="20"/>
          <w:color w:val="auto"/>
        </w:rPr>
      </w:pPr>
    </w:p>
    <w:p>
      <w:pPr>
        <w:ind w:right="300" w:firstLine="749"/>
        <w:spacing w:after="0" w:line="279"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significantly from that required to obtain approval in the U.S. In particular, in many foreign countries, it is required that a product receives pricing and reimbursement approval before the product can be distributed commercially. Many foreign countries undertake cost-containment measures that could affect pricing or reimbursement of our products. This can result in substantial delays, and the price that is ultimately approved in some countries may be lower than the price for which we expect to offer our products.</w:t>
      </w:r>
    </w:p>
    <w:p>
      <w:pPr>
        <w:spacing w:after="0" w:line="159"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approval process in others. Failure to obtain marketing approval in other countries or any delay or setback in obtaining such approval would impair our ability to develop foreign markets for our products and could adversely affect our business and financial condition. In addition, failure to obtain approval in one country or area may affect sales under the EAP in other countries or areas. Even if we are successful in obtaining regulatory approval of our products in additional countries, our revenue earning capacity will depend on commercial and medical infrastructure, pricing and reimbursement negotiations and decisions with third party payors, including government payors.</w:t>
      </w:r>
    </w:p>
    <w:p>
      <w:pPr>
        <w:spacing w:after="0" w:line="175"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In addition, we have granted Roche an exclusive option to obtain an exclusive license to commercialize certain products, including eteplirsen, golodirsen and casimersen, outside of the U.S. If this option is exercised, Roche will have sole control over and decision-making authority with respect to the commercialization of such products outside the U.S.</w:t>
      </w:r>
    </w:p>
    <w:p>
      <w:pPr>
        <w:spacing w:after="0" w:line="290"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b w:val="1"/>
          <w:bCs w:val="1"/>
          <w:i w:val="1"/>
          <w:iCs w:val="1"/>
          <w:color w:val="auto"/>
        </w:rPr>
        <w:t>We cannot predict whether historical revenues from eteplirsen, golodirsen and casimersen through our EAP outside the U.S. will continue or whether we will be able to continue to distribute eteplirsen, golodirsen and casimersen through our EAP.</w:t>
      </w:r>
    </w:p>
    <w:p>
      <w:pPr>
        <w:spacing w:after="0" w:line="63"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We established a global EAP for eteplirsen, golodirsen and casimersen in some countries where these products currently have not been approved. While we generate revenue from the distribution of these products through our EAP, we cannot predict whether historical revenues from this program will continue, whether we will be able to continue to distribute our products through our EAP, or whether revenues will exceed revenues historically generated from sales through our EAP. Reimbursement through national EAPs may cease to be available if authorization for an EAP expires or is terminated. For example, healthcare providers in EAP jurisdictions may not be convinced that their patients benefit sufficiently from our products or alternatively, may prefer to wait until such time as our products are approved by a regulatory authority in their country before prescribing any of our products. Even if a healthcare provider is interested in obtaining access to our products for its patient through the EAP, the patient will not be able to obtain access to our products if funding for the drug is not secured.</w:t>
      </w:r>
    </w:p>
    <w:p>
      <w:pPr>
        <w:spacing w:after="0" w:line="194"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Any failure to maintain revenues from sales of eteplirsen, golodirsen or casimersen through our EAP and/or to generate revenues from commercial sales of these products exceeding historical sales through our EAP could have a material adverse effect on our business, financial condition, results of operations and growth prospects.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60" w:firstLine="749"/>
        <w:spacing w:after="0" w:line="284" w:lineRule="auto"/>
        <w:rPr>
          <w:sz w:val="20"/>
          <w:szCs w:val="20"/>
          <w:color w:val="auto"/>
        </w:rPr>
      </w:pPr>
      <w:r>
        <w:rPr>
          <w:rFonts w:ascii="Arial" w:cs="Arial" w:eastAsia="Arial" w:hAnsi="Arial"/>
          <w:sz w:val="16"/>
          <w:szCs w:val="16"/>
          <w:b w:val="1"/>
          <w:bCs w:val="1"/>
          <w:i w:val="1"/>
          <w:iCs w:val="1"/>
          <w:color w:val="auto"/>
        </w:rPr>
        <w:t>Failure to obtain or maintain regulatory exclusivity for our products could result in our inability to protect our products from competition and our business may be adversely impacted. If a competitor obtains an authorization to market the same or substantially same product before a product of ours is authorized in a given country and is granted regulatory exclusivity, then our product may not be authorized for sale as a result of the competitor’s regulatory exclusivity and as a result, our investment in the development of that product may not be returned.</w:t>
      </w:r>
    </w:p>
    <w:p>
      <w:pPr>
        <w:spacing w:after="0" w:line="47"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In addition to any patent protection, we rely on various forms of regulatory exclusivity to protect our products. During the development of our products, we anticipate any one form of regulatory exclusivities becoming available upon approval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revenues for our products or our decision on whether to market our products in a particular country or countries or could otherwise have an adverse impact on our results of operations. We are not guaranteed to receive or maintain regulatory exclusivity for our current or future products, and if our products that are granted orphan status were to lose their status as orphan drugs or the data or marketing exclusivity provided for orphan drugs, our business and operations could be adversely affected.</w:t>
      </w:r>
    </w:p>
    <w:p>
      <w:pPr>
        <w:spacing w:after="0" w:line="168"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Due to the nature of our products and product candidate pipeline, in addition to new chemical entity exclusivity and new biologic exclusivity, orphan drug exclusivity is especially important for our products that are eligible for orphan drug designation. For eligible products, we plan to rely on orphan drug exclusivity to maintain a competitive position. If we do not have adequate patent protection for our products, then the relative importance of obtaining regulatory exclusivity is even greater. While orphan status for any of our products, if granted or maintained, would provide market exclusivity for the time periods specified above upon approval, we would not be able to exclude other companies from obtaining regulatory approval of products using the same or similar active ingredient for the same indication during or beyond the exclusivity period applicable to our product on the basis of orphan drug status (e.g., seven years in the U.S.). For example, the exclusivity period for EXONDYS 51 will end in September 2023. Orphan drug designation neither shortens the development time or regulatory review time of a drug, nor gives the drug any advantage in the regulatory review or approval process.</w:t>
      </w:r>
    </w:p>
    <w:p>
      <w:pPr>
        <w:spacing w:after="0" w:line="168" w:lineRule="exact"/>
        <w:rPr>
          <w:sz w:val="20"/>
          <w:szCs w:val="20"/>
          <w:color w:val="auto"/>
        </w:rPr>
      </w:pPr>
    </w:p>
    <w:p>
      <w:pPr>
        <w:ind w:right="40" w:firstLine="749"/>
        <w:spacing w:after="0" w:line="267" w:lineRule="auto"/>
        <w:rPr>
          <w:sz w:val="20"/>
          <w:szCs w:val="20"/>
          <w:color w:val="auto"/>
        </w:rPr>
      </w:pPr>
      <w:r>
        <w:rPr>
          <w:rFonts w:ascii="Arial" w:cs="Arial" w:eastAsia="Arial" w:hAnsi="Arial"/>
          <w:sz w:val="16"/>
          <w:szCs w:val="16"/>
          <w:color w:val="auto"/>
        </w:rPr>
        <w:t>In addition, we may face risks with maintaining regulatory exclusivities for our products, and our protection may be circumvented, even if maintained. For instance, orphan drug exclusivity in the U.S. may be rescinded if (i) an alternative, competing product demonstrates clinical superiority to our product with orphan exclusivity; or (ii) we are unable to assure the availability of sufficient quantities of our orphan products to meet the needs of patients. Moreover, competitors may receive approval of different drugs or biologics for indications for which our prior approved orphan products have exclusivity. Orphan drug exclusivity in Europe may be modified for several reasons, including a significant change to the orphan medicinal product designations or status criteria after-market authorization of the orphan product (</w:t>
      </w:r>
      <w:r>
        <w:rPr>
          <w:rFonts w:ascii="Arial" w:cs="Arial" w:eastAsia="Arial" w:hAnsi="Arial"/>
          <w:sz w:val="16"/>
          <w:szCs w:val="16"/>
          <w:i w:val="1"/>
          <w:iCs w:val="1"/>
          <w:color w:val="auto"/>
        </w:rPr>
        <w:t>e.g.</w:t>
      </w:r>
      <w:r>
        <w:rPr>
          <w:rFonts w:ascii="Arial" w:cs="Arial" w:eastAsia="Arial" w:hAnsi="Arial"/>
          <w:sz w:val="16"/>
          <w:szCs w:val="16"/>
          <w:color w:val="auto"/>
        </w:rPr>
        <w:t>, product profitability exceeds the criteria for orphan drug designation), problems with the production or supply of the orphan drug, or a competitor drug, although similar, is safer, more effective or otherwise clinically superior than the initial orphan drug. Thus, other companies may have received, or could receive, approval to market a product candidate that is granted orphan drug exclusivity for the same drug or similar drug and same orphan indication as any of our product candidates for which we plan to file an NDA, BLA or MAA. If that were to happen, our prior approved orphan products may face competition and any pending NDA, BLA or MAA for our product candidate for that indication may not be approved until the competing company’s period of exclusivity has expired in the U.S. or the EU, as applicable. For example, in September 2021, the FDA issued guidance concerning its position on interpreting when gene therapy products would be considered the “same” or “different” for purposes of orphan drug exclusivity. The guidance states that if two gene therapy products have or use different vectors, the FDA generally intends to consider them to be “different” drugs. Further, according to the guidance, the FDA generally intends to consider vectors from the same viral group (e.g., adeno-associated virus 2 (AAV2) vs. adeno-associated virus 5 (AAV5)) to be different, when the differences between the vectors impact factors such as tropism, immune response avoidance, or potential insertional mutagenesis. However, there is considerable uncertainty as to the interpretation of these guidelines. As illustrated by this guidance, orphan drug exclusivity as applied to gene therapy products is an evolving area subject to change and interpretation by the FDA and therefore, we cannot be certain as to how the FDA will apply those rules to our products.</w:t>
      </w:r>
    </w:p>
    <w:p>
      <w:pPr>
        <w:spacing w:after="0" w:line="285" w:lineRule="exact"/>
        <w:rPr>
          <w:sz w:val="20"/>
          <w:szCs w:val="20"/>
          <w:color w:val="auto"/>
        </w:rPr>
      </w:pPr>
    </w:p>
    <w:p>
      <w:pPr>
        <w:ind w:right="800" w:firstLine="749"/>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maintain and further develop internal commercialization capabilities, sales of our products may be negatively impacted.</w:t>
      </w:r>
    </w:p>
    <w:p>
      <w:pPr>
        <w:spacing w:after="0" w:line="63" w:lineRule="exact"/>
        <w:rPr>
          <w:sz w:val="20"/>
          <w:szCs w:val="20"/>
          <w:color w:val="auto"/>
        </w:rPr>
      </w:pPr>
    </w:p>
    <w:p>
      <w:pPr>
        <w:ind w:right="100" w:firstLine="749"/>
        <w:spacing w:after="0" w:line="291" w:lineRule="auto"/>
        <w:rPr>
          <w:sz w:val="20"/>
          <w:szCs w:val="20"/>
          <w:color w:val="auto"/>
        </w:rPr>
      </w:pPr>
      <w:r>
        <w:rPr>
          <w:rFonts w:ascii="Arial" w:cs="Arial" w:eastAsia="Arial" w:hAnsi="Arial"/>
          <w:sz w:val="17"/>
          <w:szCs w:val="17"/>
          <w:color w:val="auto"/>
        </w:rPr>
        <w:t>We have hired and trained a commercial team and put in the organizational infrastructure we believe we need to support the commercial success of our products in the U.S. Factors that may inhibit our efforts to maintain and further develop commercial capabilities include:</w:t>
      </w:r>
    </w:p>
    <w:p>
      <w:pPr>
        <w:spacing w:after="0" w:line="39" w:lineRule="exact"/>
        <w:rPr>
          <w:sz w:val="20"/>
          <w:szCs w:val="20"/>
          <w:color w:val="auto"/>
        </w:rPr>
      </w:pPr>
    </w:p>
    <w:p>
      <w:pPr>
        <w:ind w:left="5480" w:right="4480" w:hanging="4723"/>
        <w:spacing w:after="0" w:line="512" w:lineRule="auto"/>
        <w:tabs>
          <w:tab w:leader="none" w:pos="1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retain an adequate number of effective commercial personnel;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9" w:name="page40"/>
    <w:bookmarkEnd w:id="39"/>
    <w:p>
      <w:pPr>
        <w:ind w:left="1260" w:right="120" w:hanging="503"/>
        <w:spacing w:after="0" w:line="261"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train sales personnel, who may have limited experience with our company or our products, to deliver a consistent message regarding our products and be effective in educating physicians on how to prescribe our products;</w:t>
      </w:r>
    </w:p>
    <w:p>
      <w:pPr>
        <w:spacing w:after="0" w:line="62" w:lineRule="exact"/>
        <w:rPr>
          <w:rFonts w:ascii="Arial" w:cs="Arial" w:eastAsia="Arial" w:hAnsi="Arial"/>
          <w:sz w:val="18"/>
          <w:szCs w:val="18"/>
          <w:color w:val="auto"/>
        </w:rPr>
      </w:pPr>
    </w:p>
    <w:p>
      <w:pPr>
        <w:ind w:left="1260" w:right="120" w:hanging="503"/>
        <w:spacing w:after="0" w:line="248"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equip sales personnel with compliant and effective materials, including medical and sales literature to help them educate physicians and our healthcare providers regarding our products and their proper administration and educate payors on the safety, efficacy and effectiveness profile of our products to support favorable coverage decisions;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unforeseen costs and expenses associated with maintaining and further developing an independent sales and marketing organization; and</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restrictions on the ability of our employees to perform their jobs due to the COVID-19 pandemic, such as quarantines and self-isolations.</w:t>
      </w:r>
    </w:p>
    <w:p>
      <w:pPr>
        <w:spacing w:after="0" w:line="235" w:lineRule="exact"/>
        <w:rPr>
          <w:sz w:val="20"/>
          <w:szCs w:val="20"/>
          <w:color w:val="auto"/>
        </w:rPr>
      </w:pPr>
    </w:p>
    <w:p>
      <w:pPr>
        <w:ind w:right="320" w:firstLine="749"/>
        <w:spacing w:after="0" w:line="324" w:lineRule="auto"/>
        <w:rPr>
          <w:sz w:val="20"/>
          <w:szCs w:val="20"/>
          <w:color w:val="auto"/>
        </w:rPr>
      </w:pPr>
      <w:r>
        <w:rPr>
          <w:rFonts w:ascii="Arial" w:cs="Arial" w:eastAsia="Arial" w:hAnsi="Arial"/>
          <w:sz w:val="16"/>
          <w:szCs w:val="16"/>
          <w:color w:val="auto"/>
        </w:rPr>
        <w:t>If we are not successful in maintaining an effective commercial, sales and marketing infrastructure, we will encounter difficulty in achieving, maintaining or increasing projected sales of our products in the U.S., which would adversely affect our business and financial condition.</w:t>
      </w:r>
    </w:p>
    <w:p>
      <w:pPr>
        <w:spacing w:after="0" w:line="232" w:lineRule="exact"/>
        <w:rPr>
          <w:sz w:val="20"/>
          <w:szCs w:val="20"/>
          <w:color w:val="auto"/>
        </w:rPr>
      </w:pPr>
    </w:p>
    <w:p>
      <w:pPr>
        <w:ind w:right="220" w:firstLine="749"/>
        <w:spacing w:after="0" w:line="291" w:lineRule="auto"/>
        <w:rPr>
          <w:sz w:val="20"/>
          <w:szCs w:val="20"/>
          <w:color w:val="auto"/>
        </w:rPr>
      </w:pPr>
      <w:r>
        <w:rPr>
          <w:rFonts w:ascii="Arial" w:cs="Arial" w:eastAsia="Arial" w:hAnsi="Arial"/>
          <w:sz w:val="17"/>
          <w:szCs w:val="17"/>
          <w:b w:val="1"/>
          <w:bCs w:val="1"/>
          <w:i w:val="1"/>
          <w:iCs w:val="1"/>
          <w:color w:val="auto"/>
        </w:rPr>
        <w:t>The patient population suffering from Duchenne, LGMDs, and CMT 1A is small and has not been established with precision. If the actual number of patients is smaller than we estimate, our revenue and ability to achieve profitability may be adversely affected.</w:t>
      </w:r>
    </w:p>
    <w:p>
      <w:pPr>
        <w:spacing w:after="0" w:line="25" w:lineRule="exact"/>
        <w:rPr>
          <w:sz w:val="20"/>
          <w:szCs w:val="20"/>
          <w:color w:val="auto"/>
        </w:rPr>
      </w:pPr>
    </w:p>
    <w:p>
      <w:pPr>
        <w:ind w:right="60" w:firstLine="749"/>
        <w:spacing w:after="0" w:line="222" w:lineRule="auto"/>
        <w:rPr>
          <w:sz w:val="20"/>
          <w:szCs w:val="20"/>
          <w:color w:val="auto"/>
        </w:rPr>
      </w:pPr>
      <w:r>
        <w:rPr>
          <w:rFonts w:ascii="Arial" w:cs="Arial" w:eastAsia="Arial" w:hAnsi="Arial"/>
          <w:sz w:val="17"/>
          <w:szCs w:val="17"/>
          <w:color w:val="auto"/>
        </w:rPr>
        <w:t>Duchenne, LGMD, and CMT 1A are rare, fatal genetic disorders. Duchenne affects an estimated one in approximately every 3,500 to 5,000 males born worldwide, of which up to 13% are estimated to be amenable to exon 51 skipping, up to 8% are estimated to be amenable to exon 53 skipping and up to 8% are estimated to be amenable to exon 45 skipping. LGMDs as a class affect an estimated range of approximately one in every 14,500 to one in every 123,000 individuals. CMT is a group of peripheral nerve disorders affecting approximately one in every 2,500 individuals. CMT type 1A affects approximately 50,000 patients in the U.S. Our estimates of the size of these patient populations are based on limited number of published studies as well as internal analyses. Various factors may decrease the market size of our products and product candidates, including the severity of the disease, patient demographics and the response of patients’ immune systems to our products and product candidates. If the results of these studies or our analysis of them do not accurately reflect the relevant patient population, our assessment of the market may be inaccurate, making it difficult or impossible for us to meet our revenue goals, or to obtain and maintain profitability.</w:t>
      </w:r>
    </w:p>
    <w:p>
      <w:pPr>
        <w:spacing w:after="0" w:line="276" w:lineRule="exact"/>
        <w:rPr>
          <w:sz w:val="20"/>
          <w:szCs w:val="20"/>
          <w:color w:val="auto"/>
        </w:rPr>
      </w:pPr>
    </w:p>
    <w:p>
      <w:pPr>
        <w:ind w:right="1220" w:firstLine="749"/>
        <w:spacing w:after="0" w:line="235"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which may result in other companies discovering, developing or commercializing competitive products.</w:t>
      </w:r>
    </w:p>
    <w:p>
      <w:pPr>
        <w:spacing w:after="0" w:line="54" w:lineRule="exact"/>
        <w:rPr>
          <w:sz w:val="20"/>
          <w:szCs w:val="20"/>
          <w:color w:val="auto"/>
        </w:rPr>
      </w:pPr>
    </w:p>
    <w:p>
      <w:pPr>
        <w:ind w:firstLine="749"/>
        <w:spacing w:after="0" w:line="234" w:lineRule="auto"/>
        <w:rPr>
          <w:sz w:val="20"/>
          <w:szCs w:val="20"/>
          <w:color w:val="auto"/>
        </w:rPr>
      </w:pPr>
      <w:r>
        <w:rPr>
          <w:rFonts w:ascii="Arial" w:cs="Arial" w:eastAsia="Arial" w:hAnsi="Arial"/>
          <w:sz w:val="16"/>
          <w:szCs w:val="16"/>
          <w:color w:val="auto"/>
        </w:rPr>
        <w:t>The biotechnology and pharmaceutical industries are highly competitive and subject to significant and rapid technological change. We are aware of many pharmaceutical and biotechnology companies that are actively engaged in research and development in areas in which our products and product candidates are aimed. Some of these competitors are developing or testing product candidates that now, or may in the future, compete directly with our products or product candidates. For example, we face competition in the field of Duchenne by third parties who are developing or who had once developed:</w:t>
      </w:r>
    </w:p>
    <w:p>
      <w:pPr>
        <w:ind w:firstLine="8"/>
        <w:spacing w:after="0" w:line="218" w:lineRule="auto"/>
        <w:tabs>
          <w:tab w:leader="none" w:pos="2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exon skipping product candidates, such as Wave Life Sciences (notably for exons 51 and 53), Nippon Shinyaku (notably for exon 44 and exon 53, for which it has received FDA approval for its product Viltepso (viltolarsen)), Daiichi Sankyo (notably for exon 45), Dyne Therapeutics pursuing antibody-oligonucleotide conjugates for exons 44, 45, 51, and 53, Avidity Biosciences pursuing antibody-oligonucleotide conjugates for exons 44, 45 and 51), Entrada Therapeutics (notably for exon 44), Audentes Therapeutics, Inc. (acquired by Astellas Pharma) pursuing AAV vector delivery of oligonucleotides (for exons 2, 51 and 53), PepGen (notably for exon 51) and BioMarin (BMN-351 for exon 51); (ii) gene therapies that express micro-dystrophin or mini-dystrophin, such as Pfizer, Solid Biosciences (in partnership with Ultragenyx), Regenxbio and Bristol-Myers Squibb; (iii) gene editing, including CRISPR/Cas 9 approaches, such as Vertex Pharmaceuticals, CRISPR Therapeutics, Editas Medicine and Precision Biosciences (in partnership with Eli Lilly); (iv) other disease modifying approaches, such as PTC Therapeutics, which has a small molecule candidate, ataluren, that targets nonsense mutations; and (v) other approaches that may be palliative in nature or potentially complementary with our products and product candidates and that are or were once being developed by Santhera, Catabasis, Fibrogen, ReveraGen, Capricor Therapeutics, BioPhytis, Mallinckrodt, Antisense Therapeutics and Edgewise Therapeutics. Although BioMarin announced on May 31, 2016 its intent to discontinue clinical and regulatory development of drisapersen as well as its other clinical stage candidates, BMN 044, BMN 045 and BMN 053, then-currently in Phase 2 studies for distinct forms of Duchenne, it further announced in 2021 its plans to submit an IND for BMN-351, an oligonucleotide therapy. In addition, while Wave announced its intention to discontinue development of suvodirsen and suspend development of WVE-N531, it has announced that it commenced clinical development for its exon 53 oligonucleotide, WVE-N531.</w:t>
      </w:r>
    </w:p>
    <w:p>
      <w:pPr>
        <w:spacing w:after="0" w:line="61" w:lineRule="exact"/>
        <w:rPr>
          <w:sz w:val="20"/>
          <w:szCs w:val="20"/>
          <w:color w:val="auto"/>
        </w:rPr>
      </w:pPr>
    </w:p>
    <w:p>
      <w:pPr>
        <w:ind w:right="20" w:firstLine="749"/>
        <w:spacing w:after="0" w:line="239" w:lineRule="auto"/>
        <w:rPr>
          <w:sz w:val="20"/>
          <w:szCs w:val="20"/>
          <w:color w:val="auto"/>
        </w:rPr>
      </w:pPr>
      <w:r>
        <w:rPr>
          <w:rFonts w:ascii="Arial" w:cs="Arial" w:eastAsia="Arial" w:hAnsi="Arial"/>
          <w:sz w:val="16"/>
          <w:szCs w:val="16"/>
          <w:color w:val="auto"/>
        </w:rPr>
        <w:t>In addition, we are aware of many pharmaceutical and biotechnology companies that are actively engaged in research and development using platform technologies that may be viewed as competing with ours including those companies mentioned immediately above, as well as other companies including, but not limited to Alnylam Pharmaceuticals, Inc., Tekmira Pharmaceuticals Corp., Deciphera Pharmaceuticals, Ionis Pharmaceuticals, Inc., Roche Innovation Center Copenhagen (formerly Santaris Pharma A/S), Takeda, Biogen, Moderna Therapeutics, Stoke Therapeutics, Fulcrum Therapeutics, Synthena AG, DTx Pharma, PYC Therapeutics, and Sanofi. Additionally, several companies and institutions have entered into collaborations or other agreements for the development of product candidates, including mRNA, gene therapy and gene editing (CRIPSR and AAV, among others) and small molecule therapies that are potential competitors for therapies being developed in the muscular dystrophy, neuromuscular and rare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jc w:val="both"/>
        <w:ind w:right="520"/>
        <w:spacing w:after="0" w:line="224" w:lineRule="auto"/>
        <w:rPr>
          <w:sz w:val="20"/>
          <w:szCs w:val="20"/>
          <w:color w:val="auto"/>
        </w:rPr>
      </w:pPr>
      <w:r>
        <w:rPr>
          <w:rFonts w:ascii="Arial" w:cs="Arial" w:eastAsia="Arial" w:hAnsi="Arial"/>
          <w:sz w:val="18"/>
          <w:szCs w:val="18"/>
          <w:color w:val="auto"/>
        </w:rPr>
        <w:t>disease space, including, but not limited to, Astellas Pharma, Biogen Inc., Arrowhead Pharmaceuticals, Ionis, Alexion Pharmaceuticals, Inc., Sanofi, Takeda, Eli Lilly, Alnylam Pharmaceuticals, Inc., Moderna Therapeutics, Inc., Akashi, Catabasis, Capricor Therapeutics, Oxford University, Vertex Pharmaceuticals, and Editas Medicine.</w:t>
      </w:r>
    </w:p>
    <w:p>
      <w:pPr>
        <w:spacing w:after="0" w:line="176"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If any of our competitors are successful in obtaining regulatory approval for any of their product candidates, it may limit our ability to enter into the market, gain market share or maintain market share in the Duchenne space or other diseases targeted by our platform technologies, products and product candidate pipeline.</w:t>
      </w:r>
    </w:p>
    <w:p>
      <w:pPr>
        <w:spacing w:after="0" w:line="182"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It is possible that our competitors will succeed in developing technologies that, in addition to limiting the market size for our products or product candidates, impact the regulatory approval and post-marketing process for our products and product candidates, are more effective than our products or product candidates or would render our technologies obsolete or noncompetitive. Our competitors may, among other things, relative to our products or product candidates:</w:t>
      </w:r>
    </w:p>
    <w:p>
      <w:pPr>
        <w:spacing w:after="0" w:line="80" w:lineRule="exact"/>
        <w:rPr>
          <w:sz w:val="20"/>
          <w:szCs w:val="20"/>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safer or more effective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less costly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lower cost of goods;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 more favorable reimbursement coverage;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preferred formulary status;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regulatory approval more quickly;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products that are more convenient and easier to administer;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more advantageous strategic alliances; or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superior intellectual property positions.</w:t>
      </w:r>
    </w:p>
    <w:p>
      <w:pPr>
        <w:spacing w:after="0" w:line="239"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Our revenue could face competitive pressures for any of the above reasons. Moreover, if competing products are marketed in a territory in which we also have the authority to market our products, our sales may diminish, or our business could be otherwise materially adversely affected.</w:t>
      </w:r>
    </w:p>
    <w:p>
      <w:pPr>
        <w:spacing w:after="0" w:line="241" w:lineRule="exact"/>
        <w:rPr>
          <w:sz w:val="20"/>
          <w:szCs w:val="20"/>
          <w:color w:val="auto"/>
        </w:rPr>
      </w:pPr>
    </w:p>
    <w:p>
      <w:pPr>
        <w:ind w:right="100" w:firstLine="749"/>
        <w:spacing w:after="0" w:line="232" w:lineRule="auto"/>
        <w:rPr>
          <w:sz w:val="20"/>
          <w:szCs w:val="20"/>
          <w:color w:val="auto"/>
        </w:rPr>
      </w:pPr>
      <w:r>
        <w:rPr>
          <w:rFonts w:ascii="Arial" w:cs="Arial" w:eastAsia="Arial" w:hAnsi="Arial"/>
          <w:sz w:val="17"/>
          <w:szCs w:val="17"/>
          <w:b w:val="1"/>
          <w:bCs w:val="1"/>
          <w:i w:val="1"/>
          <w:iCs w:val="1"/>
          <w:color w:val="auto"/>
        </w:rPr>
        <w:t>We have entered into multiple collaborations and strategic transactions, including our collaboration with Roche, and may seek or engage in future strategic collaborations, alliances, acquisitions, licensing agreements or other relationships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68" w:lineRule="exact"/>
        <w:rPr>
          <w:sz w:val="20"/>
          <w:szCs w:val="20"/>
          <w:color w:val="auto"/>
        </w:rPr>
      </w:pPr>
    </w:p>
    <w:p>
      <w:pPr>
        <w:jc w:val="both"/>
        <w:ind w:right="200" w:firstLine="749"/>
        <w:spacing w:after="0" w:line="259" w:lineRule="auto"/>
        <w:rPr>
          <w:sz w:val="20"/>
          <w:szCs w:val="20"/>
          <w:color w:val="auto"/>
        </w:rPr>
      </w:pPr>
      <w:r>
        <w:rPr>
          <w:rFonts w:ascii="Arial" w:cs="Arial" w:eastAsia="Arial" w:hAnsi="Arial"/>
          <w:sz w:val="17"/>
          <w:szCs w:val="17"/>
          <w:color w:val="auto"/>
        </w:rPr>
        <w:t>In order to achieve our long-term business objectives, we actively evaluate strategic opportunities on an ongoing basis, including licensing or acquiring products, technologies or businesses. We may face competition from other companies in pursuing such opportunities. This competition is most intense for approved drugs and late-stage drug candidates, which have the lowest risk in terms of probability of success but would have a higher risk and more immediate effect on our financial performance. Our ability to complete transactions may also be limited by applicable antitrust and trade regulation laws and regulations in the relevant U.S. and foreign jurisdictions.</w:t>
      </w:r>
    </w:p>
    <w:p>
      <w:pPr>
        <w:spacing w:after="0" w:line="174" w:lineRule="exact"/>
        <w:rPr>
          <w:sz w:val="20"/>
          <w:szCs w:val="20"/>
          <w:color w:val="auto"/>
        </w:rPr>
      </w:pPr>
    </w:p>
    <w:p>
      <w:pPr>
        <w:ind w:right="180" w:firstLine="749"/>
        <w:spacing w:after="0" w:line="294" w:lineRule="auto"/>
        <w:rPr>
          <w:sz w:val="20"/>
          <w:szCs w:val="20"/>
          <w:color w:val="auto"/>
        </w:rPr>
      </w:pPr>
      <w:r>
        <w:rPr>
          <w:rFonts w:ascii="Arial" w:cs="Arial" w:eastAsia="Arial" w:hAnsi="Arial"/>
          <w:sz w:val="16"/>
          <w:szCs w:val="16"/>
          <w:color w:val="auto"/>
        </w:rPr>
        <w:t>We have entered into multiple collaborations, including with Roche, Nationwide, Duke University, Genethon, StrideBio, University of Florida, Genevant Sciences, Dyno Therapeutics, Selecta Biosciences, GenEdit and Hansa Biopharma. We may not realize the anticipated benefits of such collaborations, and the anticipated benefits of any future collaborations or strategic relationships, each of which involves numerous risks, including:</w:t>
      </w:r>
    </w:p>
    <w:p>
      <w:pPr>
        <w:spacing w:after="0" w:line="39" w:lineRule="exact"/>
        <w:rPr>
          <w:sz w:val="20"/>
          <w:szCs w:val="20"/>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03" w:lineRule="exact"/>
        <w:rPr>
          <w:rFonts w:ascii="Arial" w:cs="Arial" w:eastAsia="Arial" w:hAnsi="Arial"/>
          <w:sz w:val="18"/>
          <w:szCs w:val="18"/>
          <w:color w:val="auto"/>
        </w:rPr>
      </w:pPr>
    </w:p>
    <w:p>
      <w:pPr>
        <w:ind w:left="1260" w:right="40" w:hanging="503"/>
        <w:spacing w:after="0" w:line="248"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or product candidates based on clinical trial results, changes in their strategic focus due to the acquisition of competitive products, availability of funding, or other internal or external factors, such as a business combination that diverts resources or creates competing priorities;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1" w:name="page42"/>
    <w:bookmarkEnd w:id="41"/>
    <w:p>
      <w:pPr>
        <w:ind w:left="1260" w:right="80" w:hanging="503"/>
        <w:spacing w:after="0" w:line="248"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research activities including clinical trials, provide insufficient funding for research activities, stop research activities, abandon a product candidate, repeat or conduct new research activities including clinical trials, or require a new formulation of a product candidate for investigation including clinical testing;</w:t>
      </w:r>
    </w:p>
    <w:p>
      <w:pPr>
        <w:spacing w:after="0" w:line="73"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or otherwise undermine or devalue the efforts of our collaboration;</w:t>
      </w:r>
    </w:p>
    <w:p>
      <w:pPr>
        <w:spacing w:after="0" w:line="62" w:lineRule="exact"/>
        <w:rPr>
          <w:rFonts w:ascii="Arial" w:cs="Arial" w:eastAsia="Arial" w:hAnsi="Arial"/>
          <w:sz w:val="18"/>
          <w:szCs w:val="18"/>
          <w:color w:val="auto"/>
        </w:rPr>
      </w:pPr>
    </w:p>
    <w:p>
      <w:pPr>
        <w:ind w:left="1260" w:right="440" w:hanging="503"/>
        <w:spacing w:after="0" w:line="248"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260" w:hanging="503"/>
        <w:spacing w:after="0" w:line="324"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products or product candidates, or that result in costly litigation or arbitration that diverts management attention and resources;</w:t>
      </w:r>
    </w:p>
    <w:p>
      <w:pPr>
        <w:spacing w:after="0" w:line="16" w:lineRule="exact"/>
        <w:rPr>
          <w:rFonts w:ascii="Arial" w:cs="Arial" w:eastAsia="Arial" w:hAnsi="Arial"/>
          <w:sz w:val="16"/>
          <w:szCs w:val="16"/>
          <w:color w:val="auto"/>
        </w:rPr>
      </w:pPr>
    </w:p>
    <w:p>
      <w:pPr>
        <w:ind w:left="1260" w:right="10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eliminate our rights to commercialize certain products or product candidates or may result in a need for additional capital;</w:t>
      </w:r>
    </w:p>
    <w:p>
      <w:pPr>
        <w:spacing w:after="0" w:line="62" w:lineRule="exact"/>
        <w:rPr>
          <w:rFonts w:ascii="Arial" w:cs="Arial" w:eastAsia="Arial" w:hAnsi="Arial"/>
          <w:sz w:val="18"/>
          <w:szCs w:val="18"/>
          <w:color w:val="auto"/>
        </w:rPr>
      </w:pPr>
    </w:p>
    <w:p>
      <w:pPr>
        <w:ind w:left="1260" w:right="20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successfully develop the acquired or licensed products or technology or to achieve strategic objectives, including successfully developing and commercializing the products, product candidates or technologies that we acquire or license;</w:t>
      </w:r>
    </w:p>
    <w:p>
      <w:pPr>
        <w:spacing w:after="0" w:line="62" w:lineRule="exact"/>
        <w:rPr>
          <w:rFonts w:ascii="Arial" w:cs="Arial" w:eastAsia="Arial" w:hAnsi="Arial"/>
          <w:sz w:val="18"/>
          <w:szCs w:val="18"/>
          <w:color w:val="auto"/>
        </w:rPr>
      </w:pPr>
    </w:p>
    <w:p>
      <w:pPr>
        <w:ind w:left="1260" w:right="38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markets in which we have no or limited direct prior experience or where competitors in such markets have stronger market positions;</w:t>
      </w:r>
    </w:p>
    <w:p>
      <w:pPr>
        <w:spacing w:after="0" w:line="62"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of our ongoing business, distraction of our management and employees from other opportunities and challenges and retention of key employees;</w:t>
      </w:r>
    </w:p>
    <w:p>
      <w:pPr>
        <w:spacing w:after="0" w:line="62" w:lineRule="exact"/>
        <w:rPr>
          <w:rFonts w:ascii="Arial" w:cs="Arial" w:eastAsia="Arial" w:hAnsi="Arial"/>
          <w:sz w:val="18"/>
          <w:szCs w:val="18"/>
          <w:color w:val="auto"/>
        </w:rPr>
      </w:pPr>
    </w:p>
    <w:p>
      <w:pPr>
        <w:ind w:left="1260" w:right="140" w:hanging="503"/>
        <w:spacing w:after="0" w:line="243"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 strategic partner, or the relevant product or technology, including but not limited to, problems, liabilities or other shortcomings or challenges with respect to intellectual property, product quality, safety, accounting practices, employee, customer or third-party relations and other known and unknown liabilities;</w:t>
      </w:r>
    </w:p>
    <w:p>
      <w:pPr>
        <w:spacing w:after="0" w:line="79" w:lineRule="exact"/>
        <w:rPr>
          <w:rFonts w:ascii="Arial" w:cs="Arial" w:eastAsia="Arial" w:hAnsi="Arial"/>
          <w:sz w:val="18"/>
          <w:szCs w:val="18"/>
          <w:color w:val="auto"/>
        </w:rPr>
      </w:pPr>
    </w:p>
    <w:p>
      <w:pPr>
        <w:ind w:left="1260" w:right="2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liability for activities of a strategic partner before the effective date of the relevant agreement, including intellectual property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1260" w:right="300" w:hanging="503"/>
        <w:spacing w:after="0" w:line="324"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exposure to litigation or other claims in connection with, or inheritance of claims or litigation risk as a result of a strategic transaction, including but not limited to, claims from terminated employees, customers, former equity holders or other third-parties;</w:t>
      </w:r>
    </w:p>
    <w:p>
      <w:pPr>
        <w:spacing w:after="0" w:line="16" w:lineRule="exact"/>
        <w:rPr>
          <w:rFonts w:ascii="Arial" w:cs="Arial" w:eastAsia="Arial" w:hAnsi="Arial"/>
          <w:sz w:val="16"/>
          <w:szCs w:val="16"/>
          <w:color w:val="auto"/>
        </w:rPr>
      </w:pPr>
    </w:p>
    <w:p>
      <w:pPr>
        <w:ind w:left="1260" w:right="70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integrating the products, product candidates, technologies, business operations and personnel of an acquired asset or company; and</w:t>
      </w:r>
    </w:p>
    <w:p>
      <w:pPr>
        <w:spacing w:after="0" w:line="62" w:lineRule="exact"/>
        <w:rPr>
          <w:rFonts w:ascii="Arial" w:cs="Arial" w:eastAsia="Arial" w:hAnsi="Arial"/>
          <w:sz w:val="18"/>
          <w:szCs w:val="18"/>
          <w:color w:val="auto"/>
        </w:rPr>
      </w:pPr>
    </w:p>
    <w:p>
      <w:pPr>
        <w:ind w:left="1260" w:right="60" w:hanging="503"/>
        <w:spacing w:after="0" w:line="270"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164" w:lineRule="exact"/>
        <w:rPr>
          <w:sz w:val="20"/>
          <w:szCs w:val="20"/>
          <w:color w:val="auto"/>
        </w:rPr>
      </w:pPr>
    </w:p>
    <w:p>
      <w:pPr>
        <w:ind w:right="80" w:firstLine="749"/>
        <w:spacing w:after="0" w:line="274" w:lineRule="auto"/>
        <w:rPr>
          <w:sz w:val="20"/>
          <w:szCs w:val="20"/>
          <w:color w:val="auto"/>
        </w:rPr>
      </w:pPr>
      <w:r>
        <w:rPr>
          <w:rFonts w:ascii="Arial" w:cs="Arial" w:eastAsia="Arial" w:hAnsi="Arial"/>
          <w:sz w:val="16"/>
          <w:szCs w:val="16"/>
          <w:color w:val="auto"/>
        </w:rPr>
        <w:t>For example, we will have limited influence and control over the development and commercialization activities of Roche in the territories in which it leads development and commercialization of SRP-9001, and if the exclusive option is exercised, in the territories in which it leads commercialization of certain other products or product candidates. Roche’s development and commercialization activities in the territories where it is the lead party may adversely impact our own efforts in the U.S. Failure by Roche to meet its obligations under the collaboration agreement, to apply sufficient efforts at developing and commercializing collaboration products, or to comply with applicable legal or regulatory requirements, may materially adversely affect our business and our results of operations. In addition, to the extent we rely on Roche to commercialize any products upon obtaining regulatory approval, we may receive less revenues than if we commercialized these products ourselves, which could materially harm our prospects.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ind w:right="140" w:firstLine="749"/>
        <w:spacing w:after="0" w:line="243" w:lineRule="auto"/>
        <w:rPr>
          <w:sz w:val="20"/>
          <w:szCs w:val="20"/>
          <w:color w:val="auto"/>
        </w:rPr>
      </w:pPr>
      <w:r>
        <w:rPr>
          <w:rFonts w:ascii="Arial" w:cs="Arial" w:eastAsia="Arial" w:hAnsi="Arial"/>
          <w:sz w:val="18"/>
          <w:szCs w:val="18"/>
          <w:color w:val="auto"/>
        </w:rPr>
        <w:t>Even if we achieve the long-term benefits associated with strategic transactions, our expenses and short-term costs may increase materially and adversely affect our liquidity and short-term net income (loss). Future strategic transactions could result in potentially dilutive issuances of our equity securities, the incurrence of debt, the creation of contingent liabilities, impairment or expenses related to goodwill, and impairment or amortization expenses related to other intangible assets, which could harm our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find it difficult to enroll patients in our clinical trials, which could delay or prevent clinical trials of our product candidates.</w:t>
      </w:r>
    </w:p>
    <w:p>
      <w:pPr>
        <w:spacing w:after="0" w:line="127" w:lineRule="exact"/>
        <w:rPr>
          <w:sz w:val="20"/>
          <w:szCs w:val="20"/>
          <w:color w:val="auto"/>
        </w:rPr>
      </w:pPr>
    </w:p>
    <w:p>
      <w:pPr>
        <w:ind w:right="20" w:firstLine="749"/>
        <w:spacing w:after="0" w:line="262"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eligible patients to participate in testing our product candidates. We have experienced delays in some of our clinical trials, and we may experience similar delays in the future. These delays could result in increased costs, delays in advancing our product development, delays in testing the effectiveness of our technology or termination of the clinical trials altogether.</w:t>
      </w:r>
    </w:p>
    <w:p>
      <w:pPr>
        <w:spacing w:after="0" w:line="172"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trials within the expected timeframe. Patient enrollment can be impacted by factors including, but not limited to:</w:t>
      </w:r>
    </w:p>
    <w:p>
      <w:pPr>
        <w:spacing w:after="0" w:line="74" w:lineRule="exact"/>
        <w:rPr>
          <w:sz w:val="20"/>
          <w:szCs w:val="20"/>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and complexity and/or commitment of participation required in the study protocol;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diagnostic capabilities within patient population;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supply availability;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participating site identification, qualification and subsequent activation to enroll;</w:t>
      </w:r>
    </w:p>
    <w:p>
      <w:pPr>
        <w:spacing w:after="0" w:line="103"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of site efforts to facilitate timely enrollment in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participating site motivation;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activities of patient advocacy groups;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12" w:lineRule="exact"/>
        <w:rPr>
          <w:sz w:val="20"/>
          <w:szCs w:val="20"/>
          <w:color w:val="auto"/>
        </w:rPr>
      </w:pPr>
    </w:p>
    <w:p>
      <w:pPr>
        <w:ind w:right="60" w:firstLine="749"/>
        <w:spacing w:after="0" w:line="274" w:lineRule="auto"/>
        <w:rPr>
          <w:sz w:val="20"/>
          <w:szCs w:val="20"/>
          <w:color w:val="auto"/>
        </w:rPr>
      </w:pPr>
      <w:r>
        <w:rPr>
          <w:rFonts w:ascii="Arial" w:cs="Arial" w:eastAsia="Arial" w:hAnsi="Arial"/>
          <w:sz w:val="16"/>
          <w:szCs w:val="16"/>
          <w:color w:val="auto"/>
        </w:rPr>
        <w:t>In particular, each of the conditions for which we plan to evaluate our product candidates are rare genetic diseases with limited patient pools from which to draw for clinical trials. Further, because newborn screening for these diseases is not widely adopted, and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 In addition, our ability to recruit and enroll patients in our clinical trials may be negatively impacted by the evolving COVID-19 pandemic, including patients’ ability and willingness to travel to clinical trial sites as a result of quarantines and other restrictions.</w:t>
      </w:r>
    </w:p>
    <w:p>
      <w:pPr>
        <w:spacing w:after="0" w:line="163"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We may not be able to initiate or continue clinical trials if we cannot enroll the required eligible patients per protocol to participate in the clinical trials required by the FDA or the EMA or other regulatory agencies. Our ability to successfully initiate,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enroll and complete a clinical trial in any foreign country is subject to numerous risks unique to conducting business in foreign countries, including:</w:t>
      </w:r>
    </w:p>
    <w:p>
      <w:pPr>
        <w:spacing w:after="0" w:line="115" w:lineRule="exact"/>
        <w:rPr>
          <w:sz w:val="20"/>
          <w:szCs w:val="20"/>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(“CROs”) and physicians;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w:t>
      </w:r>
    </w:p>
    <w:p>
      <w:pPr>
        <w:spacing w:after="0" w:line="103" w:lineRule="exact"/>
        <w:rPr>
          <w:rFonts w:ascii="Arial" w:cs="Arial" w:eastAsia="Arial" w:hAnsi="Arial"/>
          <w:sz w:val="18"/>
          <w:szCs w:val="18"/>
          <w:color w:val="auto"/>
        </w:rPr>
      </w:pPr>
    </w:p>
    <w:p>
      <w:pPr>
        <w:ind w:left="1260" w:right="8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procure and deliver necessary clinical trial materials needed to perform the study;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implement adequate training at participating sites remotely when in person training cannot be completed.</w:t>
      </w:r>
    </w:p>
    <w:p>
      <w:pPr>
        <w:spacing w:after="0" w:line="212"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w:t>
      </w:r>
    </w:p>
    <w:p>
      <w:pPr>
        <w:spacing w:after="0" w:line="279"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b w:val="1"/>
          <w:bCs w:val="1"/>
          <w:i w:val="1"/>
          <w:iCs w:val="1"/>
          <w:color w:val="auto"/>
        </w:rPr>
        <w:t>Failures or delays in the commencement or completion of ongoing and planned clinical trials of our product candidates could negatively impact commercialization efforts; result in increased costs; and delay, prevent or limit our ability to gain regulatory approval of product candidates and to generate revenues and continue our business.</w:t>
      </w:r>
    </w:p>
    <w:p>
      <w:pPr>
        <w:spacing w:after="0" w:line="74"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Successful completion of clinical trials at each applicable stage of development is a prerequisite to submitting a marketing application to the regulatory agencies and, consequently, the ultimate approval and commercial marketing of any of our product candidates for the indications in which we develop them. We do not know whether any of our clinical trials will begin or be completed, and results announced, as planned or expected, if at all, as the commencement and completion of clinical trials and announcement of results is often delayed or prevented for a number of reasons, including, among others:</w:t>
      </w:r>
    </w:p>
    <w:p>
      <w:pPr>
        <w:spacing w:after="0" w:line="81" w:lineRule="exact"/>
        <w:rPr>
          <w:sz w:val="20"/>
          <w:szCs w:val="20"/>
          <w:color w:val="auto"/>
        </w:rPr>
      </w:pPr>
    </w:p>
    <w:p>
      <w:pPr>
        <w:ind w:left="1260" w:right="220" w:hanging="503"/>
        <w:spacing w:after="0" w:line="261"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denial by the regulatory agencies of permission to proceed with our planned clinical trials or any other clinical trials we may initiate, or placement of a clinical trial on hold;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and/or unanticipated results from our ongoing non-clinical trials or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in identifying, recruiting, enrolling and retaining patients to participate in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with subject compliance within clinical trials;</w:t>
      </w:r>
    </w:p>
    <w:p>
      <w:pPr>
        <w:spacing w:after="0" w:line="103"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timely and effectively contract with (under reasonable terms), manage and work with investigators, institutions, hospitals and the CROs/ vendors involved in the clinical trial;</w:t>
      </w:r>
    </w:p>
    <w:p>
      <w:pPr>
        <w:spacing w:after="0" w:line="62" w:lineRule="exact"/>
        <w:rPr>
          <w:rFonts w:ascii="Arial" w:cs="Arial" w:eastAsia="Arial" w:hAnsi="Arial"/>
          <w:sz w:val="18"/>
          <w:szCs w:val="18"/>
          <w:color w:val="auto"/>
        </w:rPr>
      </w:pPr>
    </w:p>
    <w:p>
      <w:pPr>
        <w:ind w:left="1260" w:right="20" w:hanging="503"/>
        <w:spacing w:after="0" w:line="243"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negotiate contracts and other related documents with clinical trial parties and institutional review boards, such as informed consents, CRO agreements and site agreements, which can be subject to extensive negotiations that could cause significant delays in the clinical trial process, with terms possibly varying significantly among different trial sites and CROs and possibly subjecting the Company to various risks;</w:t>
      </w:r>
    </w:p>
    <w:p>
      <w:pPr>
        <w:spacing w:after="0" w:line="79" w:lineRule="exact"/>
        <w:rPr>
          <w:rFonts w:ascii="Arial" w:cs="Arial" w:eastAsia="Arial" w:hAnsi="Arial"/>
          <w:sz w:val="18"/>
          <w:szCs w:val="18"/>
          <w:color w:val="auto"/>
        </w:rPr>
      </w:pPr>
    </w:p>
    <w:p>
      <w:pPr>
        <w:ind w:left="1260" w:right="220" w:hanging="503"/>
        <w:spacing w:after="0" w:line="294" w:lineRule="auto"/>
        <w:tabs>
          <w:tab w:leader="none" w:pos="1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inadequate quantity or quality of supplies of a product candidate or other materials necessary to conduct clinical trials, for example as a result of delays in defining and implementing the manufacturing process for materials used in pivotal trials or for the manufacture of larger quantities or other delays or issues arising in the manufacturing of sufficient supply of finished drug product;</w:t>
      </w:r>
    </w:p>
    <w:p>
      <w:pPr>
        <w:spacing w:after="0" w:line="39" w:lineRule="exact"/>
        <w:rPr>
          <w:rFonts w:ascii="Arial" w:cs="Arial" w:eastAsia="Arial" w:hAnsi="Arial"/>
          <w:sz w:val="16"/>
          <w:szCs w:val="16"/>
          <w:color w:val="auto"/>
        </w:rPr>
      </w:pPr>
    </w:p>
    <w:p>
      <w:pPr>
        <w:ind w:left="1260" w:right="180" w:hanging="503"/>
        <w:spacing w:after="0" w:line="261"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(“IRB”) approval, and equivalent (Ethics Committees or ECs) approval for sites outside the U.S., to conduct a clinical trial at a prospective site or sites;</w:t>
      </w:r>
    </w:p>
    <w:p>
      <w:pPr>
        <w:spacing w:after="0" w:line="62"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ensure adherence to trial designs and protocols agreed upon and approved by regulatory authorities and applicable legal and regulatory guidelines;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problems in analyzing data, or the need for additional analysis or data or the need to enroll additional patients;</w:t>
      </w:r>
    </w:p>
    <w:p>
      <w:pPr>
        <w:spacing w:after="0" w:line="103" w:lineRule="exact"/>
        <w:rPr>
          <w:rFonts w:ascii="Arial" w:cs="Arial" w:eastAsia="Arial" w:hAnsi="Arial"/>
          <w:sz w:val="18"/>
          <w:szCs w:val="18"/>
          <w:color w:val="auto"/>
        </w:rPr>
      </w:pPr>
    </w:p>
    <w:p>
      <w:pPr>
        <w:ind w:left="1260" w:right="200" w:hanging="503"/>
        <w:spacing w:after="0" w:line="261"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serious adverse events or unexpected drug-related side effects experienced by patients in a clinical trial or unexpected results in ongoing non-clinical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validating endpoints utilized in a clinical trial;</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validating outcome assessments needed in a clinical trial;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have formal meetings with the regulatory agencies or to interact with them on a regular basis;</w:t>
      </w:r>
    </w:p>
    <w:p>
      <w:pPr>
        <w:spacing w:after="0" w:line="103" w:lineRule="exact"/>
        <w:rPr>
          <w:rFonts w:ascii="Arial" w:cs="Arial" w:eastAsia="Arial" w:hAnsi="Arial"/>
          <w:sz w:val="18"/>
          <w:szCs w:val="18"/>
          <w:color w:val="auto"/>
        </w:rPr>
      </w:pPr>
    </w:p>
    <w:p>
      <w:pPr>
        <w:ind w:left="1260" w:right="100" w:hanging="503"/>
        <w:spacing w:after="0" w:line="291"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inability to satisfy the requirements of the regulatory agencies to commence clinical trials, such as developing potency assays and lot release specifications that correlate with the activity or response of the product candidate or other CMC requirements;</w:t>
      </w:r>
    </w:p>
    <w:p>
      <w:pPr>
        <w:spacing w:after="0" w:line="38" w:lineRule="exact"/>
        <w:rPr>
          <w:rFonts w:ascii="Arial" w:cs="Arial" w:eastAsia="Arial" w:hAnsi="Arial"/>
          <w:sz w:val="17"/>
          <w:szCs w:val="17"/>
          <w:color w:val="auto"/>
        </w:rPr>
      </w:pPr>
    </w:p>
    <w:p>
      <w:pPr>
        <w:ind w:left="1260" w:right="620" w:hanging="503"/>
        <w:spacing w:after="0" w:line="324"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regulatory agencies disagreeing with our clinical trial design and our interpretation of data from clinical trials, or changing the requirements for approval even after the regulatory authority has reviewed and commented on the design for our clinical trials;</w:t>
      </w:r>
    </w:p>
    <w:p>
      <w:pPr>
        <w:spacing w:after="0" w:line="16" w:lineRule="exact"/>
        <w:rPr>
          <w:rFonts w:ascii="Arial" w:cs="Arial" w:eastAsia="Arial" w:hAnsi="Arial"/>
          <w:sz w:val="16"/>
          <w:szCs w:val="16"/>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reports from non-clinical or clinical testing of competing therapies that raise safety or efficacy concerns;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and retention of employees, consultants or contractors with the required level of expertise.</w:t>
      </w:r>
    </w:p>
    <w:p>
      <w:pPr>
        <w:spacing w:after="0" w:line="198" w:lineRule="exact"/>
        <w:rPr>
          <w:sz w:val="20"/>
          <w:szCs w:val="20"/>
          <w:color w:val="auto"/>
        </w:rPr>
      </w:pPr>
    </w:p>
    <w:p>
      <w:pPr>
        <w:ind w:firstLine="749"/>
        <w:spacing w:after="0" w:line="244" w:lineRule="auto"/>
        <w:rPr>
          <w:sz w:val="20"/>
          <w:szCs w:val="20"/>
          <w:color w:val="auto"/>
        </w:rPr>
      </w:pPr>
      <w:r>
        <w:rPr>
          <w:rFonts w:ascii="Arial" w:cs="Arial" w:eastAsia="Arial" w:hAnsi="Arial"/>
          <w:sz w:val="16"/>
          <w:szCs w:val="16"/>
          <w:color w:val="auto"/>
        </w:rPr>
        <w:t>Any inability to complete successfully pre-clinical and clinical development could result in additional costs to us or impair our ability to generate revenues from product sales, regulatory and commercialization milestones and royalties. In addition, manufacturing or formulation changes to our product candidates often require additional studies to demonstrate comparability of the modified product candidates to earlier versions. Clinical study delays also shorten any periods during which we may have the exclusive right to commercialize our product candidates or allow our competitors to bring products to market before we do, which impairs our ability to successfully commercialize our product candidates and harms our business and results of operations.</w:t>
      </w:r>
    </w:p>
    <w:p>
      <w:pPr>
        <w:spacing w:after="0" w:line="158" w:lineRule="exact"/>
        <w:rPr>
          <w:sz w:val="20"/>
          <w:szCs w:val="20"/>
          <w:color w:val="auto"/>
        </w:rPr>
      </w:pPr>
    </w:p>
    <w:p>
      <w:pPr>
        <w:ind w:right="140" w:firstLine="794"/>
        <w:spacing w:after="0" w:line="224" w:lineRule="auto"/>
        <w:rPr>
          <w:sz w:val="20"/>
          <w:szCs w:val="20"/>
          <w:color w:val="auto"/>
        </w:rPr>
      </w:pPr>
      <w:r>
        <w:rPr>
          <w:rFonts w:ascii="Arial" w:cs="Arial" w:eastAsia="Arial" w:hAnsi="Arial"/>
          <w:sz w:val="18"/>
          <w:szCs w:val="18"/>
          <w:b w:val="1"/>
          <w:bCs w:val="1"/>
          <w:i w:val="1"/>
          <w:iCs w:val="1"/>
          <w:color w:val="auto"/>
        </w:rPr>
        <w:t>Clinical development is lengthy and uncertain. Clinical trials of our novel gene therapy candidates may be delayed, including as a result of the COVID-19 pandemic, and certain programs may never advance in the clinic or may be more costly to conduct than we anticipate, any of which could have a material adverse impact on our business.</w:t>
      </w:r>
    </w:p>
    <w:p>
      <w:pPr>
        <w:spacing w:after="0" w:line="163" w:lineRule="exact"/>
        <w:rPr>
          <w:sz w:val="20"/>
          <w:szCs w:val="20"/>
          <w:color w:val="auto"/>
        </w:rPr>
      </w:pPr>
    </w:p>
    <w:p>
      <w:pPr>
        <w:ind w:right="180" w:firstLine="749"/>
        <w:spacing w:after="0" w:line="224" w:lineRule="auto"/>
        <w:rPr>
          <w:sz w:val="20"/>
          <w:szCs w:val="20"/>
          <w:color w:val="auto"/>
        </w:rPr>
      </w:pPr>
      <w:r>
        <w:rPr>
          <w:rFonts w:ascii="Arial" w:cs="Arial" w:eastAsia="Arial" w:hAnsi="Arial"/>
          <w:sz w:val="18"/>
          <w:szCs w:val="18"/>
          <w:color w:val="auto"/>
        </w:rPr>
        <w:t>Clinical testing is expensive and complex and can take many years to complete, and its outcome is inherently uncertain. We may not be able to initiate, may experience delays in, or may have to discontinue clinical trials for our product candidates as a result of numerous unforeseen events, including:</w:t>
      </w:r>
    </w:p>
    <w:p>
      <w:pPr>
        <w:spacing w:after="0" w:line="68" w:lineRule="exact"/>
        <w:rPr>
          <w:sz w:val="20"/>
          <w:szCs w:val="20"/>
          <w:color w:val="auto"/>
        </w:rPr>
      </w:pPr>
    </w:p>
    <w:p>
      <w:pPr>
        <w:ind w:left="1020" w:right="120" w:hanging="503"/>
        <w:spacing w:after="0" w:line="324"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16" w:lineRule="exact"/>
        <w:rPr>
          <w:rFonts w:ascii="Arial" w:cs="Arial" w:eastAsia="Arial" w:hAnsi="Arial"/>
          <w:sz w:val="16"/>
          <w:szCs w:val="16"/>
          <w:color w:val="auto"/>
        </w:rPr>
      </w:pPr>
    </w:p>
    <w:p>
      <w:pPr>
        <w:ind w:left="1020" w:right="16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20" w:right="3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103"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produce negative or inconclusive results, and we may decide, or regulators may require us, to conduct additional nonclinical studies or clinical trials, or we may decide to abandon product development programs;</w:t>
      </w:r>
    </w:p>
    <w:p>
      <w:pPr>
        <w:spacing w:after="0" w:line="7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make it difficult to extrapolate the results of earlier clinical trials to later clinical trials;</w:t>
      </w:r>
    </w:p>
    <w:p>
      <w:pPr>
        <w:spacing w:after="0" w:line="62" w:lineRule="exact"/>
        <w:rPr>
          <w:rFonts w:ascii="Arial" w:cs="Arial" w:eastAsia="Arial" w:hAnsi="Arial"/>
          <w:sz w:val="18"/>
          <w:szCs w:val="18"/>
          <w:color w:val="auto"/>
        </w:rPr>
      </w:pPr>
    </w:p>
    <w:p>
      <w:pPr>
        <w:ind w:left="1020" w:right="38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 and</w:t>
      </w:r>
    </w:p>
    <w:p>
      <w:pPr>
        <w:spacing w:after="0" w:line="38" w:lineRule="exact"/>
        <w:rPr>
          <w:rFonts w:ascii="Arial" w:cs="Arial" w:eastAsia="Arial" w:hAnsi="Arial"/>
          <w:sz w:val="17"/>
          <w:szCs w:val="17"/>
          <w:color w:val="auto"/>
        </w:rPr>
      </w:pPr>
    </w:p>
    <w:p>
      <w:pPr>
        <w:ind w:left="1020" w:right="4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or our investigators, IRBs, or ethics committees may elect to suspend or terminate clinical research or trials for various reasons, including noncompliance with regulatory requirements or a finding that the participants are being exposed to unacceptable benefit risk ratio. For example, in the past we have received clinical holds from the FDA. Although these holds have generally not materially affected our development timelines, there is no assurance that any future hold would not have a material adverse effect. A clinical hold, or any of the above factors, may be out of our control and could materially impair our development timelines, expenses and results of operations.</w:t>
      </w:r>
    </w:p>
    <w:p>
      <w:pPr>
        <w:spacing w:after="0" w:line="176" w:lineRule="exact"/>
        <w:rPr>
          <w:sz w:val="20"/>
          <w:szCs w:val="20"/>
          <w:color w:val="auto"/>
        </w:rPr>
      </w:pPr>
    </w:p>
    <w:p>
      <w:pPr>
        <w:ind w:right="620" w:firstLine="749"/>
        <w:spacing w:after="0" w:line="235" w:lineRule="auto"/>
        <w:rPr>
          <w:sz w:val="20"/>
          <w:szCs w:val="20"/>
          <w:color w:val="auto"/>
        </w:rPr>
      </w:pPr>
      <w:r>
        <w:rPr>
          <w:rFonts w:ascii="Arial" w:cs="Arial" w:eastAsia="Arial" w:hAnsi="Arial"/>
          <w:sz w:val="18"/>
          <w:szCs w:val="18"/>
          <w:color w:val="auto"/>
        </w:rPr>
        <w:t>In addition, the impact of COVID-19 has caused disruptions and may cause delays in some of our clinical trials. The recent responses to COVID-19 by healthcare providers and regulatory agencies could delay the commencement of clinical trials, site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ind w:right="280"/>
        <w:spacing w:after="0" w:line="235" w:lineRule="auto"/>
        <w:rPr>
          <w:sz w:val="20"/>
          <w:szCs w:val="20"/>
          <w:color w:val="auto"/>
        </w:rPr>
      </w:pPr>
      <w:r>
        <w:rPr>
          <w:rFonts w:ascii="Arial" w:cs="Arial" w:eastAsia="Arial" w:hAnsi="Arial"/>
          <w:sz w:val="18"/>
          <w:szCs w:val="18"/>
          <w:color w:val="auto"/>
        </w:rPr>
        <w:t>initiation, protocol compliance, the completion of clinical trials, including the completion of post-marketing requirements and commitments, slow down enrollment, and make the ongoing collection of data for patients enrolled in studies more difficult or intermittent.</w:t>
      </w:r>
    </w:p>
    <w:p>
      <w:pPr>
        <w:spacing w:after="0" w:line="283" w:lineRule="exact"/>
        <w:rPr>
          <w:sz w:val="20"/>
          <w:szCs w:val="20"/>
          <w:color w:val="auto"/>
        </w:rPr>
      </w:pPr>
    </w:p>
    <w:p>
      <w:pPr>
        <w:ind w:right="100" w:firstLine="749"/>
        <w:spacing w:after="0" w:line="212" w:lineRule="exact"/>
        <w:rPr>
          <w:sz w:val="20"/>
          <w:szCs w:val="20"/>
          <w:color w:val="auto"/>
        </w:rPr>
      </w:pPr>
      <w:r>
        <w:rPr>
          <w:rFonts w:ascii="Arial" w:cs="Arial" w:eastAsia="Arial" w:hAnsi="Arial"/>
          <w:sz w:val="18"/>
          <w:szCs w:val="18"/>
          <w:b w:val="1"/>
          <w:bCs w:val="1"/>
          <w:i w:val="1"/>
          <w:iCs w:val="1"/>
          <w:color w:val="auto"/>
        </w:rPr>
        <w:t>Results from pre-clinical and early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 may not be indicative of safety or efficacy in late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 and pre-clinical and clinical trials may fail to demonstrate acceptable levels of safety, efficacy, and quality of our product candidates, which could prevent or significantly delay their regulatory approval.</w:t>
      </w:r>
    </w:p>
    <w:p>
      <w:pPr>
        <w:spacing w:after="0" w:line="82"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color w:val="auto"/>
        </w:rPr>
        <w:t>To obtain the requisite regulatory approvals to market and sell any of our product candidates, we must demonstrate, through extensive pre-clinical and clinical trials, that the product candidate is safe and effective in humans. Ongoing and future pre-clinical and clinical trials of our product candidates may not show sufficient safety, efficacy or adequate quality to obtain or maintain regulatory approvals. For example, although we believe the data for SRP-9001, SRP-9003 and SRP-5051 collected to date are positive, the additional data we collect may not be consistent with the pre-clinical and/or early clinical data or show a safe benefit that warrants further development or pursuit of a regulatory approval for these product candidates.</w:t>
      </w:r>
    </w:p>
    <w:p>
      <w:pPr>
        <w:spacing w:after="0" w:line="146" w:lineRule="exact"/>
        <w:rPr>
          <w:sz w:val="20"/>
          <w:szCs w:val="20"/>
          <w:color w:val="auto"/>
        </w:rPr>
      </w:pPr>
    </w:p>
    <w:p>
      <w:pPr>
        <w:ind w:firstLine="749"/>
        <w:spacing w:after="0" w:line="220" w:lineRule="auto"/>
        <w:rPr>
          <w:sz w:val="20"/>
          <w:szCs w:val="20"/>
          <w:color w:val="auto"/>
        </w:rPr>
      </w:pPr>
      <w:r>
        <w:rPr>
          <w:rFonts w:ascii="Arial" w:cs="Arial" w:eastAsia="Arial" w:hAnsi="Arial"/>
          <w:sz w:val="17"/>
          <w:szCs w:val="17"/>
          <w:color w:val="auto"/>
        </w:rPr>
        <w:t>Furthermore, success in pre-clinical and early clinical trials does not ensure that the subsequent trials will be successful, nor does it predict final results of a confirmatory trial. Some of our clinical trials were conducted with small patient populations and were not blinded or placebo-controlled, making it difficult to predict whether the favorable results that we observed in such trials will be repeated in larger and more advanced clinical trials. For example, our most recent announcements for SRP-9001, SRP-9003 and SRP-5051 include: in January 2022, we announced topline results for Part 2 of Study 102 for SRP-9001; in May 2021, we announced results from the 30 mg/kg cohort of Part A of Study 5051-201 for SRP-5051; and in May 2021, we announced twelve-month functional data from three clinical trial participants in the high-dose cohort, and 24-month functional data from three clinical trial participants in the low-dose cohort for SRP-9003. These data are based on small patient samples, and, given the heterogeneity of Duchenne and LGMD patients and potential lot-to-lot variability, the data may not be predictive of future results. In addition, we cannot assure that the results of additional data or data from any future trial will yield results that are consistent with the data presented, that we will be able to demonstrate the safety and efficacy of these product candidates, that later trial results will support further development, or even if such later results are favorable, that we will be able to successfully complete the development of, obtain accelerated, conditional or standard regulatory approval for, or successfully commercialize any of such product candidates. Similarly, we cannot provide assurances that data from our ongoing and planned studies with respect to our commercially approved products and product candidates will be positive and consistent or that the interpretation by regulators, such as the FDA or EMA, of the data we collect for our products or product candidates will be consistent with our interpretations.</w:t>
      </w:r>
    </w:p>
    <w:p>
      <w:pPr>
        <w:spacing w:after="0" w:line="313" w:lineRule="exact"/>
        <w:rPr>
          <w:sz w:val="20"/>
          <w:szCs w:val="20"/>
          <w:color w:val="auto"/>
        </w:rPr>
      </w:pPr>
    </w:p>
    <w:p>
      <w:pPr>
        <w:ind w:right="600" w:firstLine="749"/>
        <w:spacing w:after="0" w:line="362" w:lineRule="auto"/>
        <w:rPr>
          <w:sz w:val="20"/>
          <w:szCs w:val="20"/>
          <w:color w:val="auto"/>
        </w:rPr>
      </w:pPr>
      <w:r>
        <w:rPr>
          <w:rFonts w:ascii="Arial" w:cs="Arial" w:eastAsia="Arial" w:hAnsi="Arial"/>
          <w:sz w:val="15"/>
          <w:szCs w:val="15"/>
          <w:b w:val="1"/>
          <w:bCs w:val="1"/>
          <w:i w:val="1"/>
          <w:iCs w:val="1"/>
          <w:color w:val="auto"/>
        </w:rPr>
        <w:t>Our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6"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Our product candidates may cause undesirable side effects. In addition to side effects caused by our product candidates, the administration process or related procedures also can cause adverse side effects. If any such adverse events occur in our trials, we may decide, or the FDA, the EMA or other regulatory authorities could order us, to halt, delay or amend pre-clinical development or clinical development of our product candidates or we may be unable to receive regulatory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276" w:lineRule="exact"/>
        <w:rPr>
          <w:sz w:val="20"/>
          <w:szCs w:val="20"/>
          <w:color w:val="auto"/>
        </w:rPr>
      </w:pPr>
    </w:p>
    <w:p>
      <w:pPr>
        <w:jc w:val="both"/>
        <w:ind w:right="180" w:firstLine="749"/>
        <w:spacing w:after="0" w:line="322" w:lineRule="auto"/>
        <w:rPr>
          <w:sz w:val="20"/>
          <w:szCs w:val="20"/>
          <w:color w:val="auto"/>
        </w:rPr>
      </w:pPr>
      <w:r>
        <w:rPr>
          <w:rFonts w:ascii="Arial" w:cs="Arial" w:eastAsia="Arial" w:hAnsi="Arial"/>
          <w:sz w:val="15"/>
          <w:szCs w:val="15"/>
          <w:b w:val="1"/>
          <w:bCs w:val="1"/>
          <w:i w:val="1"/>
          <w:iCs w:val="1"/>
          <w:color w:val="auto"/>
        </w:rPr>
        <w:t>Our gene therapy product candidates may be perceived as unsafe or may result in unforeseen adverse events. Failure of other gene therapy programs, negative public opinion and increased regulatory scrutiny of gene therapy may damage public perception of the safety of our gene therapy product candidates and harm our ability to conduct our business or obtain regulatory approvals for our gene therapy product candidates.</w:t>
      </w:r>
    </w:p>
    <w:p>
      <w:pPr>
        <w:spacing w:after="0" w:line="21" w:lineRule="exact"/>
        <w:rPr>
          <w:sz w:val="20"/>
          <w:szCs w:val="20"/>
          <w:color w:val="auto"/>
        </w:rPr>
      </w:pPr>
    </w:p>
    <w:p>
      <w:pPr>
        <w:ind w:right="200" w:firstLine="749"/>
        <w:spacing w:after="0" w:line="241" w:lineRule="auto"/>
        <w:rPr>
          <w:sz w:val="20"/>
          <w:szCs w:val="20"/>
          <w:color w:val="auto"/>
        </w:rPr>
      </w:pPr>
      <w:r>
        <w:rPr>
          <w:rFonts w:ascii="Arial" w:cs="Arial" w:eastAsia="Arial" w:hAnsi="Arial"/>
          <w:sz w:val="18"/>
          <w:szCs w:val="18"/>
          <w:color w:val="auto"/>
        </w:rPr>
        <w:t>Gene therapy remains a newly applied technology, with only a few gene therapy products approved to date in the U.S., the EU or elsewhere.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w:t>
      </w:r>
    </w:p>
    <w:p>
      <w:pPr>
        <w:spacing w:after="0" w:line="189" w:lineRule="exact"/>
        <w:rPr>
          <w:sz w:val="20"/>
          <w:szCs w:val="20"/>
          <w:color w:val="auto"/>
        </w:rPr>
      </w:pPr>
    </w:p>
    <w:p>
      <w:pPr>
        <w:jc w:val="both"/>
        <w:ind w:right="300" w:firstLine="749"/>
        <w:spacing w:after="0" w:line="248" w:lineRule="auto"/>
        <w:rPr>
          <w:sz w:val="20"/>
          <w:szCs w:val="20"/>
          <w:color w:val="auto"/>
        </w:rPr>
      </w:pPr>
      <w:r>
        <w:rPr>
          <w:rFonts w:ascii="Arial" w:cs="Arial" w:eastAsia="Arial" w:hAnsi="Arial"/>
          <w:sz w:val="18"/>
          <w:szCs w:val="18"/>
          <w:color w:val="auto"/>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jc w:val="both"/>
        <w:ind w:right="140"/>
        <w:spacing w:after="0" w:line="294" w:lineRule="auto"/>
        <w:rPr>
          <w:sz w:val="20"/>
          <w:szCs w:val="20"/>
          <w:color w:val="auto"/>
        </w:rPr>
      </w:pPr>
      <w:r>
        <w:rPr>
          <w:rFonts w:ascii="Arial" w:cs="Arial" w:eastAsia="Arial" w:hAnsi="Arial"/>
          <w:sz w:val="16"/>
          <w:szCs w:val="16"/>
          <w:color w:val="auto"/>
        </w:rPr>
        <w:t>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47" w:lineRule="exact"/>
        <w:rPr>
          <w:sz w:val="20"/>
          <w:szCs w:val="20"/>
          <w:color w:val="auto"/>
        </w:rPr>
      </w:pPr>
    </w:p>
    <w:p>
      <w:pPr>
        <w:ind w:right="320" w:firstLine="749"/>
        <w:spacing w:after="0" w:line="255" w:lineRule="auto"/>
        <w:rPr>
          <w:sz w:val="20"/>
          <w:szCs w:val="20"/>
          <w:color w:val="auto"/>
        </w:rPr>
      </w:pPr>
      <w:r>
        <w:rPr>
          <w:rFonts w:ascii="Arial" w:cs="Arial" w:eastAsia="Arial" w:hAnsi="Arial"/>
          <w:sz w:val="17"/>
          <w:szCs w:val="17"/>
          <w:color w:val="auto"/>
        </w:rPr>
        <w:t>More restrictive government regulations or negative public opinion would harm our business, financial condition, results of operations and prospects and may delay or impair the development and commercialization of our gene therapy product candidates or demand for any products we may develop. For example, earlier gene therapy trials led to several well-publicized adverse events, including death. Lack of efficacy and/or serious adverse events related to clinical trials we, our strategic partners or other companies conduct, even if such adverse events are not ultimately attributable to the relevant product candidates or products, and/or failed commercialization of gene therapy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288"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b w:val="1"/>
          <w:bCs w:val="1"/>
          <w:i w:val="1"/>
          <w:iCs w:val="1"/>
          <w:color w:val="auto"/>
        </w:rPr>
        <w:t>If there are significant delays in obtaining or we are unable to obtain or maintain required regulatory approvals, we will not be able to commercialize our product candidates in a timely manner or at all, which could impair our ability to generate sufficient revenue and have a successful business.</w:t>
      </w:r>
    </w:p>
    <w:p>
      <w:pPr>
        <w:spacing w:after="0" w:line="74"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The research, testing, manufacturing, labeling, approval, commercialization, marketing, selling and distribution of drug products are subject to extensive regulation by applicable local, regional and national regulatory authorities and regulations may differ from jurisdiction to jurisdiction. In the U.S., approvals and oversight from federal (e.g., FDA), state and other regulatory authorities are required for these activities. Sale and marketing of our product candidates in the U.S. or other countries is not permitted until we obtain the required approvals from the applicable regulatory authorities. Of the large number of drugs in development in the biopharmaceutical industry, only a small percentage result in the submission of a marketing application to the FDA or an MAA to the EMA and even fewer are approved for commercialization.</w:t>
      </w:r>
    </w:p>
    <w:p>
      <w:pPr>
        <w:spacing w:after="0" w:line="175" w:lineRule="exact"/>
        <w:rPr>
          <w:sz w:val="20"/>
          <w:szCs w:val="20"/>
          <w:color w:val="auto"/>
        </w:rPr>
      </w:pPr>
    </w:p>
    <w:p>
      <w:pPr>
        <w:ind w:right="360" w:firstLine="749"/>
        <w:spacing w:after="0" w:line="324" w:lineRule="auto"/>
        <w:rPr>
          <w:sz w:val="20"/>
          <w:szCs w:val="20"/>
          <w:color w:val="auto"/>
        </w:rPr>
      </w:pPr>
      <w:r>
        <w:rPr>
          <w:rFonts w:ascii="Arial" w:cs="Arial" w:eastAsia="Arial" w:hAnsi="Arial"/>
          <w:sz w:val="16"/>
          <w:szCs w:val="16"/>
          <w:color w:val="auto"/>
        </w:rPr>
        <w:t>Our ability to obtain the government or regulatory approvals required to commercialize any of our product candidates in any jurisdiction, including in the U.S. or the EU, cannot be assured, may be significantly delayed or may never be achieved for various reasons including the following:</w:t>
      </w:r>
    </w:p>
    <w:p>
      <w:pPr>
        <w:spacing w:after="0" w:line="16" w:lineRule="exact"/>
        <w:rPr>
          <w:sz w:val="20"/>
          <w:szCs w:val="20"/>
          <w:color w:val="auto"/>
        </w:rPr>
      </w:pPr>
    </w:p>
    <w:p>
      <w:pPr>
        <w:ind w:left="1260" w:hanging="503"/>
        <w:spacing w:after="0" w:line="238"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non-clinical, clinical, chemistry, manufacturing and controls and other data and analyses from past, current and future studies for any of our product candidates may not be sufficient to meet regulatory requirements for marketing application approvals. The regulatory authorities could disagree with our interpretations and conclusions regarding data we provide in connection with NDA, BLA or MAA submissions for one or more of our product candidates, and may delay, reject or refuse to accept for review, or approve any submission we make or identify additional requirements for product approval to be submitted upon completion, if ever. In addition, in the U.S., an FDA advisory committee could determine that our data are insufficient to provide a positive recommendation for approval of any NDA or BLA we submit to the FDA. Even if we meet FDA requirements and an advisory committee votes to recommend approval of an NDA or BLA submission, the FDA could still disagree with the advisory committee’s recommendation and deny approval of a product candidate based on their review.</w:t>
      </w:r>
    </w:p>
    <w:p>
      <w:pPr>
        <w:spacing w:after="0" w:line="83" w:lineRule="exact"/>
        <w:rPr>
          <w:rFonts w:ascii="Arial" w:cs="Arial" w:eastAsia="Arial" w:hAnsi="Arial"/>
          <w:sz w:val="18"/>
          <w:szCs w:val="18"/>
          <w:color w:val="auto"/>
        </w:rPr>
      </w:pPr>
    </w:p>
    <w:p>
      <w:pPr>
        <w:ind w:left="1260" w:right="20" w:hanging="503"/>
        <w:spacing w:after="0" w:line="251" w:lineRule="auto"/>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regulatory approval process for product candidates targeting orphan diseases, such as Duchenne, that use new technologies and processes, such as antisense oligonucleotide therapies, gene therapy and other alternative approaches or endpoints for the determination of efficacy is uncertain due to, among other factors, evolving interpretations of a new therapeutic class, the broad discretion of regulatory authorities, lack of precedent, small safety databases, varying levels of applicable expertise of regulators or their advisory committees, scientific developments, changes in the competitor landscape, shifting political priorities and changes in applicable laws, rules or regulations and interpretations of the same. As a result of uncertainty in the approval process for products intended to treat serious rare diseases, we may not be able to anticipate, prepare for or satisfy requests or requirements from regulatory authorities, including completing and submitting planned NDAs, BLAs and MAAs for our product candidates, in a timely manner, or at all. Examples of such requests or requirements could include, but are not limited to, conducting additional or redesigned trials and procedures (e.g., additional safety data, patient muscle biopsies, dystrophin analyses and the use of assays), repeating or completing additional analysis of our data, or providing additional supportive data. In addition, in the U.S., an FDA advisory committee or regulators may disagree with our data analysis, interpretations and conclusions at any point in the approval process, which could negatively impact the approval of our NDA or BLA or result in a decision by the Company not to proceed with an NDA or BLA submission for a product candidate based on feedback from regulators.</w:t>
      </w:r>
    </w:p>
    <w:p>
      <w:pPr>
        <w:spacing w:after="0" w:line="80" w:lineRule="exact"/>
        <w:rPr>
          <w:rFonts w:ascii="Arial" w:cs="Arial" w:eastAsia="Arial" w:hAnsi="Arial"/>
          <w:sz w:val="17"/>
          <w:szCs w:val="17"/>
          <w:color w:val="auto"/>
        </w:rPr>
      </w:pPr>
    </w:p>
    <w:p>
      <w:pPr>
        <w:ind w:left="1260" w:right="80" w:hanging="503"/>
        <w:spacing w:after="0" w:line="261"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have the resources required to meet regulatory requirements and successfully navigate what is generally a lengthy, expensive and extensive approval process for commercialization of drug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40" w:firstLine="749"/>
        <w:spacing w:after="0" w:line="238" w:lineRule="auto"/>
        <w:rPr>
          <w:sz w:val="20"/>
          <w:szCs w:val="20"/>
          <w:color w:val="auto"/>
        </w:rPr>
      </w:pPr>
      <w:r>
        <w:rPr>
          <w:rFonts w:ascii="Arial" w:cs="Arial" w:eastAsia="Arial" w:hAnsi="Arial"/>
          <w:sz w:val="18"/>
          <w:szCs w:val="18"/>
          <w:color w:val="auto"/>
        </w:rPr>
        <w:t>Any failure on our part to respond to these requirements in a timely and satisfactory manner could significantly delay or negatively impact confirmatory study timelines and/or the development plans we have for PMO, PPMO, gene therapy-based product candidates or other product candidates. Responding to requests from regulators and meeting requirements for clinical trials, submissions and approvals may require substantial personnel, financial or other resources, which, as a small biopharmaceutical company, we may not be able to obtain in a timely manner or at all. In addition, our ability to respond to requests from regulatory authorities that involve our agents, third party vendors and associates may be complicated by our own limitations and those of the parties we work with. It may be difficult or impossible for us to conform to regulatory guidance or successfully execute our product development plans in response to regulatory guidance, including guidance related to clinical trial design with respect to any NDA, BLA or MAA submissions.</w:t>
      </w:r>
    </w:p>
    <w:p>
      <w:pPr>
        <w:spacing w:after="0" w:line="194"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advisory group or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Furthermore, regulatory agencies may not approve the labeling claims that are necessary or desirable for the successful commercialization of our treatment candidates. Finally, some of our product candidates may require diagnostic tests to ensure we appropriately select patients suitable for treatment. If we are unable to successfully develop diagnostic tests for these product candidates, experience significant delays in doing so, or are unable to obtain required regulatory clearances or approvals for any diagnostic tests, the commercialization of our product candidates may be delayed or prevented. Even if we receive the required regulatory clearance or approvals for certain diagnostic tests, the commercial success of any of our product candidates that require such tests will be dependent upon the continued availability of such tests.</w:t>
      </w:r>
    </w:p>
    <w:p>
      <w:pPr>
        <w:spacing w:after="0" w:line="183" w:lineRule="exact"/>
        <w:rPr>
          <w:sz w:val="20"/>
          <w:szCs w:val="20"/>
          <w:color w:val="auto"/>
        </w:rPr>
      </w:pPr>
    </w:p>
    <w:p>
      <w:pPr>
        <w:ind w:right="340" w:firstLine="749"/>
        <w:spacing w:after="0" w:line="279" w:lineRule="auto"/>
        <w:rPr>
          <w:sz w:val="20"/>
          <w:szCs w:val="20"/>
          <w:color w:val="auto"/>
        </w:rPr>
      </w:pPr>
      <w:r>
        <w:rPr>
          <w:rFonts w:ascii="Arial" w:cs="Arial" w:eastAsia="Arial" w:hAnsi="Arial"/>
          <w:sz w:val="16"/>
          <w:szCs w:val="16"/>
          <w:color w:val="auto"/>
        </w:rPr>
        <w:t>Even after approval and commercialization of a product candidate, we remain subject to ongoing regulatory compliance and oversight to maintain our approval. Conducting our post marketing commitments for our three commercialized products studies could take years to complete, could yield negative or uninterpretable results or could result in an FDA determination that the studies do not provide the safety and efficacy requirements to maintain regulatory approval. If we or any of our strategic partners are unable to develop, or obtain regulatory approval for, or, if approved, maintain regulatory compliance and successfully commercialize, our product candidates, our business will be materially harmed.</w:t>
      </w:r>
    </w:p>
    <w:p>
      <w:pPr>
        <w:spacing w:after="0" w:line="267" w:lineRule="exact"/>
        <w:rPr>
          <w:sz w:val="20"/>
          <w:szCs w:val="20"/>
          <w:color w:val="auto"/>
        </w:rPr>
      </w:pPr>
    </w:p>
    <w:p>
      <w:pPr>
        <w:ind w:right="160" w:firstLine="749"/>
        <w:spacing w:after="0" w:line="294" w:lineRule="auto"/>
        <w:rPr>
          <w:sz w:val="20"/>
          <w:szCs w:val="20"/>
          <w:color w:val="auto"/>
        </w:rPr>
      </w:pPr>
      <w:r>
        <w:rPr>
          <w:rFonts w:ascii="Arial" w:cs="Arial" w:eastAsia="Arial" w:hAnsi="Arial"/>
          <w:sz w:val="16"/>
          <w:szCs w:val="16"/>
          <w:b w:val="1"/>
          <w:bCs w:val="1"/>
          <w:i w:val="1"/>
          <w:iCs w:val="1"/>
          <w:color w:val="auto"/>
        </w:rPr>
        <w:t>We are investing significant resources in the development of novel gene therapy product candidates. Only a few gene therapy products have been approved in the U.S. and EU. If we are unable to show the safety and efficacy of these product candidates, experience delays in doing so or are unable to successfully commercialize at least one of these drugs, our business would be materially harmed.</w:t>
      </w:r>
    </w:p>
    <w:p>
      <w:pPr>
        <w:spacing w:after="0" w:line="39"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We are investing significant resources in the development of our gene therapy product candidates. We believe that a significant portion of the long-term value attributed to our company by investors is based on the commercial potential of these product candidates. There can be no assurance that any development problems we experience in the future related to our gene therapy programs will not cause significant delays or unanticipated costs, or that such development problems can be solved. Development problems and delays in one program may delay the development of other programs. Early results from ongoing clinical trials may differ materially from final results from such clinical trials. The results from pre-clinical and early clinical studies do not always accurately predict results in later, large-scale clinical trials. We may also experience delays in developing a sustainable, reproducible and commercial-scale manufacturing process or transferring that process to commercial partners, which may prevent us from completing our clinical trials or commercializing our products on a timely or profitable basis, if at all.</w:t>
      </w:r>
    </w:p>
    <w:p>
      <w:pPr>
        <w:spacing w:after="0" w:line="181"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In addition, the clinical trial requirements of the FDA, the EMA,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Currently, only a few gene therapy products have been approved in the Western world. Given the few precedents of approved gene therapy products, it is difficult to determine how long it will take or how much it will cost to obtain regulatory approvals for our gene therapy product candidates in the U.S., the EU or other jurisdictions. Approvals by the EMA and the EC may not be indicative of what the FDA may require for approval.</w:t>
      </w:r>
    </w:p>
    <w:p>
      <w:pPr>
        <w:spacing w:after="0" w:line="191" w:lineRule="exact"/>
        <w:rPr>
          <w:sz w:val="20"/>
          <w:szCs w:val="20"/>
          <w:color w:val="auto"/>
        </w:rPr>
      </w:pPr>
    </w:p>
    <w:p>
      <w:pPr>
        <w:ind w:right="220" w:firstLine="749"/>
        <w:spacing w:after="0" w:line="243" w:lineRule="auto"/>
        <w:rPr>
          <w:sz w:val="20"/>
          <w:szCs w:val="20"/>
          <w:color w:val="auto"/>
        </w:rPr>
      </w:pPr>
      <w:r>
        <w:rPr>
          <w:rFonts w:ascii="Arial" w:cs="Arial" w:eastAsia="Arial" w:hAnsi="Arial"/>
          <w:sz w:val="18"/>
          <w:szCs w:val="18"/>
          <w:color w:val="auto"/>
        </w:rPr>
        <w:t>Regulatory requirements governing gene therapy products have evolved and may continue to change in the future. 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line="238" w:lineRule="auto"/>
        <w:rPr>
          <w:sz w:val="20"/>
          <w:szCs w:val="20"/>
          <w:color w:val="auto"/>
        </w:rPr>
      </w:pPr>
      <w:r>
        <w:rPr>
          <w:rFonts w:ascii="Arial" w:cs="Arial" w:eastAsia="Arial" w:hAnsi="Arial"/>
          <w:sz w:val="18"/>
          <w:szCs w:val="18"/>
          <w:color w:val="auto"/>
        </w:rPr>
        <w:t>National Institutes of Health (the “NIH”). The FDA and the NIH have published guidance documents with respect to the development and submission of gene therapy protocols. For example, on January 28, 2020, the FDA issued final guidance documents that updated draft guidance documents that were originally released in July 2018 to reflect recent advances in the field, and to set forth the framework for the development, review and approval of gene therapies. These final guidance documents pertain to the development of gene therapies for the treatment of specific disease categories, including rare diseases, and to manufacturing and long-term follow up issues relevant to gene therapy, among other topics. The FDA also issued a new guidance document in September 2021 describing the FDA’s approach for determining whether two gene therapy products were the same or different for the purpose of assessing orphan drug exclusivity. In addition, the FDA can put an IND on hold if the information in an IND is not sufficient to assess the risks in pediatric patients.</w:t>
      </w:r>
    </w:p>
    <w:p>
      <w:pPr>
        <w:spacing w:after="0" w:line="194" w:lineRule="exact"/>
        <w:rPr>
          <w:sz w:val="20"/>
          <w:szCs w:val="20"/>
          <w:color w:val="auto"/>
        </w:rPr>
      </w:pPr>
    </w:p>
    <w:p>
      <w:pPr>
        <w:ind w:right="120" w:firstLine="749"/>
        <w:spacing w:after="0" w:line="279" w:lineRule="auto"/>
        <w:rPr>
          <w:sz w:val="20"/>
          <w:szCs w:val="20"/>
          <w:color w:val="auto"/>
        </w:rPr>
      </w:pPr>
      <w:r>
        <w:rPr>
          <w:rFonts w:ascii="Arial" w:cs="Arial" w:eastAsia="Arial" w:hAnsi="Arial"/>
          <w:sz w:val="16"/>
          <w:szCs w:val="16"/>
          <w:color w:val="auto"/>
        </w:rPr>
        <w:t>These regulatory review agencies, committees and advisory groups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these treatment candidates or lead to significant post-approval studies, limitations or restrictions. As we advance our product candidates, we will be required to consult with these regulatory and advisory groups and comply with applicable requirements and guidelines, failure of which may lead to delayed or discontinued development of our product candidates.</w:t>
      </w:r>
    </w:p>
    <w:p>
      <w:pPr>
        <w:spacing w:after="0" w:line="159" w:lineRule="exact"/>
        <w:rPr>
          <w:sz w:val="20"/>
          <w:szCs w:val="20"/>
          <w:color w:val="auto"/>
        </w:rPr>
      </w:pPr>
    </w:p>
    <w:p>
      <w:pPr>
        <w:ind w:right="340" w:firstLine="749"/>
        <w:spacing w:after="0" w:line="248" w:lineRule="auto"/>
        <w:rPr>
          <w:sz w:val="20"/>
          <w:szCs w:val="20"/>
          <w:color w:val="auto"/>
        </w:rPr>
      </w:pPr>
      <w:r>
        <w:rPr>
          <w:rFonts w:ascii="Arial" w:cs="Arial" w:eastAsia="Arial" w:hAnsi="Arial"/>
          <w:sz w:val="18"/>
          <w:szCs w:val="18"/>
          <w:color w:val="auto"/>
        </w:rPr>
        <w:t>If the anticipated or actual timing of marketing approvals for our gene therapy product candidates, or the market acceptance of these product candidates, if approved, including treatment reimbursement levels agreed to by third-party payors, do not meet the expectations of investors or public market analysts, the market price of our common stock would likely decline.</w:t>
      </w:r>
    </w:p>
    <w:p>
      <w:pPr>
        <w:spacing w:after="0" w:line="29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56" w:lineRule="exact"/>
        <w:rPr>
          <w:sz w:val="20"/>
          <w:szCs w:val="20"/>
          <w:color w:val="auto"/>
        </w:rPr>
      </w:pPr>
    </w:p>
    <w:p>
      <w:pPr>
        <w:ind w:right="120" w:firstLine="749"/>
        <w:spacing w:after="0" w:line="270" w:lineRule="auto"/>
        <w:rPr>
          <w:sz w:val="20"/>
          <w:szCs w:val="20"/>
          <w:color w:val="auto"/>
        </w:rPr>
      </w:pPr>
      <w:r>
        <w:rPr>
          <w:rFonts w:ascii="Arial" w:cs="Arial" w:eastAsia="Arial" w:hAnsi="Arial"/>
          <w:sz w:val="16"/>
          <w:szCs w:val="16"/>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such as gene therapy,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Achieving appropriate statistical power may be challenging for some of the ultra-rare genetically defined diseases we are targeting in our programs, especially if the acceptance of descriptive data is not yet established.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full or accelerated regulatory approval.</w:t>
      </w:r>
    </w:p>
    <w:p>
      <w:pPr>
        <w:spacing w:after="0" w:line="167"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If our study data do not consistently or sufficiently demonstrate the safety or efficacy of any of our product candidates, the regulatory approvals for such product candidates could be significantly delayed as we work to meet approval requirements, or, if we are not able to meet these requirements, such approvals could be withheld or withdrawn.</w:t>
      </w:r>
    </w:p>
    <w:p>
      <w:pPr>
        <w:spacing w:after="0" w:line="290" w:lineRule="exact"/>
        <w:rPr>
          <w:sz w:val="20"/>
          <w:szCs w:val="20"/>
          <w:color w:val="auto"/>
        </w:rPr>
      </w:pPr>
    </w:p>
    <w:p>
      <w:pPr>
        <w:ind w:right="80" w:firstLine="749"/>
        <w:spacing w:after="0" w:line="294" w:lineRule="auto"/>
        <w:rPr>
          <w:sz w:val="20"/>
          <w:szCs w:val="20"/>
          <w:color w:val="auto"/>
        </w:rPr>
      </w:pPr>
      <w:r>
        <w:rPr>
          <w:rFonts w:ascii="Arial" w:cs="Arial" w:eastAsia="Arial" w:hAnsi="Arial"/>
          <w:sz w:val="16"/>
          <w:szCs w:val="16"/>
          <w:b w:val="1"/>
          <w:bCs w:val="1"/>
          <w:i w:val="1"/>
          <w:iCs w:val="1"/>
          <w:color w:val="auto"/>
        </w:rPr>
        <w:t>Fast track product, breakthrough therapy, priority review, or Regenerative Medicine Advanced Therapy (“RMAT”) designation by the FDA, or access to the Priority Medicine scheme (“PRIME”) by the EMA, for our product candidates, if granted, may not lead to faster development or regulatory review or approval process, and it does not increase the likelihood that our product candidates will receive marketing approval.</w:t>
      </w:r>
    </w:p>
    <w:p>
      <w:pPr>
        <w:spacing w:after="0" w:line="39" w:lineRule="exact"/>
        <w:rPr>
          <w:sz w:val="20"/>
          <w:szCs w:val="20"/>
          <w:color w:val="auto"/>
        </w:rPr>
      </w:pPr>
    </w:p>
    <w:p>
      <w:pPr>
        <w:ind w:right="120" w:firstLine="749"/>
        <w:spacing w:after="0" w:line="272" w:lineRule="auto"/>
        <w:rPr>
          <w:sz w:val="20"/>
          <w:szCs w:val="20"/>
          <w:color w:val="auto"/>
        </w:rPr>
      </w:pPr>
      <w:r>
        <w:rPr>
          <w:rFonts w:ascii="Arial" w:cs="Arial" w:eastAsia="Arial" w:hAnsi="Arial"/>
          <w:sz w:val="16"/>
          <w:szCs w:val="16"/>
          <w:color w:val="auto"/>
        </w:rPr>
        <w:t>We may seek fast track, breakthrough therapy designation, RMAT designation, PRIME scheme access or priority review designation for our product candidates if supported by the results of clinical trials. A fast track product designation is designed to facilitate the clinical development and expedite the review of drugs intended to treat a serious or life-threatening condition which demonstrate the potential to address an unmet medical need.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A RMAT designation is designed to accelerate approval for regenerative advanced therapies such as our gene therapy product candidates. Priority review designation is intended to speed the FDA marketing application review timeframe for drugs that treat a serious condition and, if approved, would provide 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9" w:name="page50"/>
    <w:bookmarkEnd w:id="49"/>
    <w:p>
      <w:pPr>
        <w:ind w:right="320"/>
        <w:spacing w:after="0" w:line="261" w:lineRule="auto"/>
        <w:rPr>
          <w:sz w:val="20"/>
          <w:szCs w:val="20"/>
          <w:color w:val="auto"/>
        </w:rPr>
      </w:pPr>
      <w:r>
        <w:rPr>
          <w:rFonts w:ascii="Arial" w:cs="Arial" w:eastAsia="Arial" w:hAnsi="Arial"/>
          <w:sz w:val="18"/>
          <w:szCs w:val="18"/>
          <w:color w:val="auto"/>
        </w:rPr>
        <w:t>significant improvement in safety or effectiveness. PRIME is a scheme provided by the EMA to enhance support for the development of medicines that target an unmet medical need.</w:t>
      </w:r>
    </w:p>
    <w:p>
      <w:pPr>
        <w:spacing w:after="0" w:line="171"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For drugs and biologics that have been designated as fast track products or breakthrough therapies, or granted access to the PRIME scheme, interaction and communication between the regulatory agency and the sponsor of the trial can help to identify the most efficient path for clinical development. Sponsors of drugs with fast track products or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products that receive a priority review designation, the FDA's marketing application review goal is shortened to six months, as opposed to ten months under standard review. This review goal is based on the date the FDA accepts the marketing application for review, this application validation period typically adds approximately two months to the timeline for review and decision from the date of submission. RMAT designations will accelerate approval and will include all the benefits of fast track and breakthrough therapy designations, including early interactions with the FDA, but the exact mechanisms have not yet been announced by FDA.</w:t>
      </w:r>
    </w:p>
    <w:p>
      <w:pPr>
        <w:spacing w:after="0" w:line="169"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Designation as a fast track product, breakthrough therapy, RMAT, PRIME, or priority review product is within the discretion of the regulatory agency. Accordingly, even if we believe one of our product candidates meets the criteria for designation as a fast track product, breakthrough therapy, RMAT, PRIME, or priority review product, the agency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agency. In addition, regarding fast track products and breakthrough therapies, the FDA may later decide that the products no longer meet the conditions for qualification as either a fast track product, RMAT, or a breakthrough therapy or, for priority review products, decide that period for FDA review or approval will not be shortened.</w:t>
      </w:r>
    </w:p>
    <w:p>
      <w:pPr>
        <w:spacing w:after="0" w:line="271" w:lineRule="exact"/>
        <w:rPr>
          <w:sz w:val="20"/>
          <w:szCs w:val="20"/>
          <w:color w:val="auto"/>
        </w:rPr>
      </w:pPr>
    </w:p>
    <w:p>
      <w:pPr>
        <w:ind w:right="180" w:firstLine="749"/>
        <w:spacing w:after="0" w:line="291" w:lineRule="auto"/>
        <w:rPr>
          <w:sz w:val="20"/>
          <w:szCs w:val="20"/>
          <w:color w:val="auto"/>
        </w:rPr>
      </w:pPr>
      <w:r>
        <w:rPr>
          <w:rFonts w:ascii="Arial" w:cs="Arial" w:eastAsia="Arial" w:hAnsi="Arial"/>
          <w:sz w:val="17"/>
          <w:szCs w:val="17"/>
          <w:b w:val="1"/>
          <w:bCs w:val="1"/>
          <w:i w:val="1"/>
          <w:iCs w:val="1"/>
          <w:color w:val="auto"/>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39"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Our pipeline includes more than 40 programs in various stages of development for a broad range of diseases and disorders. We plan to expand our pipeline through internal research and development and through strategic transactions. Because we have limited resources, we may not be able to advance all of our programs. We may also forego or delay pursuit of opportunities with certain programs or for indications that later prove to have greater commercial potential. Our resource allocation decisions may cause us to fail to capitalize on viable commercial products or profitable market opportunities. Our spending on current and future research and development programs for product candidates may not yield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08"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b w:val="1"/>
          <w:bCs w:val="1"/>
          <w:i w:val="1"/>
          <w:iCs w:val="1"/>
          <w:color w:val="auto"/>
        </w:rPr>
        <w:t>If we are unable to maintain our agreements with third parties to distribute our products to patients, our results of operations and business could be adversely affected.</w:t>
      </w:r>
    </w:p>
    <w:p>
      <w:pPr>
        <w:spacing w:after="0" w:line="63"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We rely on third parties to commercially distribute our products to patients in the U.S. We have contracted with a third-party logistics company to warehouse our products and with distributors and specialty pharmacies to sell and distribute our products to patients. A specialty pharmacy is a pharmacy that specializes in the dispensing of medications for complex or chronic conditions that require a high level of patient education and ongoing management.</w:t>
      </w:r>
    </w:p>
    <w:p>
      <w:pPr>
        <w:spacing w:after="0" w:line="188" w:lineRule="exact"/>
        <w:rPr>
          <w:sz w:val="20"/>
          <w:szCs w:val="20"/>
          <w:color w:val="auto"/>
        </w:rPr>
      </w:pPr>
    </w:p>
    <w:p>
      <w:pPr>
        <w:ind w:right="380" w:firstLine="749"/>
        <w:spacing w:after="0" w:line="243" w:lineRule="auto"/>
        <w:rPr>
          <w:sz w:val="20"/>
          <w:szCs w:val="20"/>
          <w:color w:val="auto"/>
        </w:rPr>
      </w:pPr>
      <w:r>
        <w:rPr>
          <w:rFonts w:ascii="Arial" w:cs="Arial" w:eastAsia="Arial" w:hAnsi="Arial"/>
          <w:sz w:val="18"/>
          <w:szCs w:val="18"/>
          <w:color w:val="auto"/>
        </w:rPr>
        <w:t>This distribution network requires significant coordination with our sales and marketing and finance organizations. In addition, failure to coordinate financial systems could negatively impact our ability to accurately report product revenue from our products. If we are unable to effectively manage the distribution process, the sales of our products, as well as any future products we may commercialize, could be delayed or severely compromised and our results of operations may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left="760"/>
        <w:spacing w:after="0"/>
        <w:rPr>
          <w:sz w:val="20"/>
          <w:szCs w:val="20"/>
          <w:color w:val="auto"/>
        </w:rPr>
      </w:pPr>
      <w:r>
        <w:rPr>
          <w:rFonts w:ascii="Arial" w:cs="Arial" w:eastAsia="Arial" w:hAnsi="Arial"/>
          <w:sz w:val="18"/>
          <w:szCs w:val="18"/>
          <w:color w:val="auto"/>
        </w:rPr>
        <w:t>In addition, the use of third parties involves certain risks, including, but not limited to, risks that these organizations will:</w:t>
      </w:r>
    </w:p>
    <w:p>
      <w:pPr>
        <w:spacing w:after="0" w:line="104" w:lineRule="exact"/>
        <w:rPr>
          <w:sz w:val="20"/>
          <w:szCs w:val="20"/>
          <w:color w:val="auto"/>
        </w:rPr>
      </w:pPr>
    </w:p>
    <w:p>
      <w:pPr>
        <w:ind w:left="1260" w:right="460" w:hanging="503"/>
        <w:spacing w:after="0" w:line="26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provide us with accurate or timely information regarding their inventories, the number of patients who are using our products or serious adverse events and/or product complaints regarding our products;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effectively sell or support our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or discontinue their efforts to sell or support our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devote the resources necessary to sell our products in the volumes and within the time frame we expect;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unable to satisfy financial obligations to us or others; or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cease operations.</w:t>
      </w:r>
    </w:p>
    <w:p>
      <w:pPr>
        <w:spacing w:after="0" w:line="212"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Any such events may result in decreased product sales, lower product revenue, loss of revenue, and/or reputational damage, which would harm our results of operations and business.</w:t>
      </w:r>
    </w:p>
    <w:p>
      <w:pPr>
        <w:spacing w:after="0" w:line="171" w:lineRule="exact"/>
        <w:rPr>
          <w:sz w:val="20"/>
          <w:szCs w:val="20"/>
          <w:color w:val="auto"/>
        </w:rPr>
      </w:pPr>
    </w:p>
    <w:p>
      <w:pPr>
        <w:ind w:right="120" w:firstLine="749"/>
        <w:spacing w:after="0" w:line="255" w:lineRule="auto"/>
        <w:rPr>
          <w:sz w:val="20"/>
          <w:szCs w:val="20"/>
          <w:color w:val="auto"/>
        </w:rPr>
      </w:pPr>
      <w:r>
        <w:rPr>
          <w:rFonts w:ascii="Arial" w:cs="Arial" w:eastAsia="Arial" w:hAnsi="Arial"/>
          <w:sz w:val="17"/>
          <w:szCs w:val="17"/>
          <w:color w:val="auto"/>
        </w:rPr>
        <w:t>With respect to the pre-commercial distribution of our products to patients outside of the U.S., we have contracted with third party distributors and service providers to distribute our products in certain countries through our EAP. We will need to continue building out our network for commercial distribution in jurisdictions in which our products are approved, which will also require third party contracts. The use of distributors and service providers involves certain risks, including, but not limited to, risks that these organizations will not comply with applicable laws and regulations, or not provide us with accurate or timely information regarding serious adverse events and/or product complaints regarding our products. Any such events may result in regulatory actions that may include suspension or termination of the distribution and sale of our products in a certain country, loss of revenue, and/or reputational damage, which could harm our results of operations and business.</w:t>
      </w:r>
    </w:p>
    <w:p>
      <w:pPr>
        <w:spacing w:after="0" w:line="180" w:lineRule="exact"/>
        <w:rPr>
          <w:sz w:val="20"/>
          <w:szCs w:val="20"/>
          <w:color w:val="auto"/>
        </w:rPr>
      </w:pPr>
    </w:p>
    <w:p>
      <w:pPr>
        <w:ind w:right="380" w:firstLine="749"/>
        <w:spacing w:after="0" w:line="261" w:lineRule="auto"/>
        <w:rPr>
          <w:sz w:val="20"/>
          <w:szCs w:val="20"/>
          <w:color w:val="auto"/>
        </w:rPr>
      </w:pPr>
      <w:r>
        <w:rPr>
          <w:rFonts w:ascii="Arial" w:cs="Arial" w:eastAsia="Arial" w:hAnsi="Arial"/>
          <w:sz w:val="18"/>
          <w:szCs w:val="18"/>
          <w:color w:val="auto"/>
        </w:rPr>
        <w:t>Furthermore, a significant outbreak of COVID-19 at one of our third-party logistics, distribution, or specialty pharmacy sites could lead to a delay in the commercial or pre-commercial shipments of our products to patients and hospitals.</w:t>
      </w:r>
    </w:p>
    <w:p>
      <w:pPr>
        <w:spacing w:after="0" w:line="279" w:lineRule="exact"/>
        <w:rPr>
          <w:sz w:val="20"/>
          <w:szCs w:val="20"/>
          <w:color w:val="auto"/>
        </w:rPr>
      </w:pPr>
    </w:p>
    <w:p>
      <w:pPr>
        <w:ind w:right="520" w:firstLine="749"/>
        <w:spacing w:after="0" w:line="356" w:lineRule="auto"/>
        <w:rPr>
          <w:sz w:val="20"/>
          <w:szCs w:val="20"/>
          <w:color w:val="auto"/>
        </w:rPr>
      </w:pPr>
      <w:r>
        <w:rPr>
          <w:rFonts w:ascii="Arial" w:cs="Arial" w:eastAsia="Arial" w:hAnsi="Arial"/>
          <w:sz w:val="15"/>
          <w:szCs w:val="15"/>
          <w:b w:val="1"/>
          <w:bCs w:val="1"/>
          <w:i w:val="1"/>
          <w:iCs w:val="1"/>
          <w:color w:val="auto"/>
        </w:rPr>
        <w:t>We rely on third parties to conduct some aspects of our early stage research and pre-clinical and clinical development. The inadequate performance by or loss of any of these third parties could affect the development and commercialization of our product candidate development.</w:t>
      </w:r>
    </w:p>
    <w:p>
      <w:pPr>
        <w:spacing w:after="0" w:line="1"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have relied upon, and plan to continue to rely upon, third parties to conduct some aspects of our early stage research and pre-clinical and clinical development with respect to certain of our product candidates, including our follow-on exon-skipping product candidates, PPMO, gene therapy and gene editing product candidates. Our third-party collaborators may not commit sufficient resources or adequately develop our programs for these candidates. If our third-party collaborators fail to commit sufficient resources to any of our product candidates or to carry out their contractual duties or obligations, our programs related to any particular product candidate could be delayed, terminated, or unsuccessful. Furthermore, if we fail to make required payments to these third-party collaborators, including up-front, milestone, reimbursement or royalty payments, or to observe other obligations in our agreements with them, these third parties may not be required to perform their obligations under our respective agreements with them and may have the right to terminate such agreements. In addition, if our strategic partners experience regulatory delays for the development of their clinical product candidates, including clinical holds, our opportunities to commercialize products may be delayed.</w:t>
      </w:r>
    </w:p>
    <w:p>
      <w:pPr>
        <w:spacing w:after="0" w:line="184" w:lineRule="exact"/>
        <w:rPr>
          <w:sz w:val="20"/>
          <w:szCs w:val="20"/>
          <w:color w:val="auto"/>
        </w:rPr>
      </w:pPr>
    </w:p>
    <w:p>
      <w:pPr>
        <w:ind w:right="340" w:firstLine="749"/>
        <w:spacing w:after="0" w:line="284" w:lineRule="auto"/>
        <w:rPr>
          <w:sz w:val="20"/>
          <w:szCs w:val="20"/>
          <w:color w:val="auto"/>
        </w:rPr>
      </w:pPr>
      <w:r>
        <w:rPr>
          <w:rFonts w:ascii="Arial" w:cs="Arial" w:eastAsia="Arial" w:hAnsi="Arial"/>
          <w:sz w:val="16"/>
          <w:szCs w:val="16"/>
          <w:color w:val="auto"/>
        </w:rPr>
        <w:t>We also have relied upon and plan to continue to rely upon third-party CROs to monitor and manage data completeness for our ongoing pre-clinical and clinical programs. We rely on these parties for execution of our pre-clinical and clinical trials, and we control only certain aspects of their activities. Nevertheless, we are responsible for ensuring that each of our studies is conducted in accordance with the applicable protocol and legal, regulatory and scientific standards, and our reliance on collaborators and CROs does not relieve us of our regulatory responsibilities.</w:t>
      </w:r>
    </w:p>
    <w:p>
      <w:pPr>
        <w:spacing w:after="0" w:line="155"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The individuals at our third-party collaborators and CROs who conduct work on our behalf, including their sub-contractors, are not always our employees, and although we participate in the planning of our early stage research and pre-clinical and clinical programs, we cannot control whether or not they devote sufficient time and resources or exercise appropriate oversight of these programs, except for remedies available to us under our agreements with such third parties. If our collaborators and CROs do not successfully carry out their contractual duties or obligations or if the quality or accuracy of the data they obtain is compromised due to the failure to adhere to our pre-clinical and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120" w:firstLine="749"/>
        <w:spacing w:after="0" w:line="261" w:lineRule="auto"/>
        <w:rPr>
          <w:sz w:val="20"/>
          <w:szCs w:val="20"/>
          <w:color w:val="auto"/>
        </w:rPr>
      </w:pPr>
      <w:r>
        <w:rPr>
          <w:rFonts w:ascii="Arial" w:cs="Arial" w:eastAsia="Arial" w:hAnsi="Arial"/>
          <w:sz w:val="18"/>
          <w:szCs w:val="18"/>
          <w:b w:val="1"/>
          <w:bCs w:val="1"/>
          <w:i w:val="1"/>
          <w:iCs w:val="1"/>
          <w:color w:val="auto"/>
        </w:rPr>
        <w:t>Our reliance on third parties requires us to share our proprietary information, which increases the possibility that a competitor will discover them or that our proprietary information will be misappropriated or inadvertently disclosed.</w:t>
      </w:r>
    </w:p>
    <w:p>
      <w:pPr>
        <w:spacing w:after="0" w:line="63"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Our reliance on third-party collaborators requires us to disclose our proprietary information to these parties, which could increase the risk that a competitor will discover this information or that this information will be misappropriated or disclosed without our intent to do so. If any of these events were to occur, then our ability to obtain patent protection or other intellectual property rights could be irrevocably jeopardized, and costly, distracting litigation could ensue. Furthermore, if these third parties cease to continue operations and we are not able to quickly find a replacement provider or we lose information or items associated with our products or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financial condition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324"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b w:val="1"/>
          <w:bCs w:val="1"/>
          <w:i w:val="1"/>
          <w:iCs w:val="1"/>
          <w:color w:val="auto"/>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for commercial supply or to successfully support various programs, including research and development and the potential commercialization of additional product candidates in our pipeline.</w:t>
      </w:r>
    </w:p>
    <w:p>
      <w:pPr>
        <w:spacing w:after="0" w:line="155"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We currently do not have the internal capacity to manufacture our commercial products or product candidates in the quantities needed to meet commercial, clinical or EAPs demand for our products, or to conduct our research and development programs and conduct clinical trials. Therefore, we rely on, and expect to continue relying on for the foreseeable future, a limited number of third parties to manufacture and supply materials (including raw materials and subunits), API and drug product, as well as to perform additional steps in the manufacturing process, such as labeling and packaging of vials and storage of our products and product candidates. As of the date of this Annual Report, we have dual sourcing for the APIs and drug product for all three of our commercial products. The limited number of third parties with facilities and capabilities suited for the manufacturing process of our products and product candidates creates a risk that we may not be able to obtain materials and APIs in the quantity and purity that we require.</w:t>
      </w:r>
    </w:p>
    <w:p>
      <w:pPr>
        <w:spacing w:after="0" w:line="163"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In addition, the process for adding new manufacturing capacity is lengthy and often causes delays in development efforts. Any interruption of the development or operation of those facilities due to, among other reasons, events such as the ongoing COVID-19 pandemic, order delays for equipment or materials, equipment malfunctions,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by natural disasters, such as earthquakes or fires, could result in the cancellation of shipments, loss of product in the manufacturing process or a shortfall in supply of our products, product candidates or materials.</w:t>
      </w:r>
    </w:p>
    <w:p>
      <w:pPr>
        <w:spacing w:after="0" w:line="175" w:lineRule="exact"/>
        <w:rPr>
          <w:sz w:val="20"/>
          <w:szCs w:val="20"/>
          <w:color w:val="auto"/>
        </w:rPr>
      </w:pPr>
    </w:p>
    <w:p>
      <w:pPr>
        <w:jc w:val="both"/>
        <w:ind w:right="100" w:firstLine="749"/>
        <w:spacing w:after="0" w:line="294" w:lineRule="auto"/>
        <w:rPr>
          <w:sz w:val="20"/>
          <w:szCs w:val="20"/>
          <w:color w:val="auto"/>
        </w:rPr>
      </w:pPr>
      <w:r>
        <w:rPr>
          <w:rFonts w:ascii="Arial" w:cs="Arial" w:eastAsia="Arial" w:hAnsi="Arial"/>
          <w:sz w:val="16"/>
          <w:szCs w:val="16"/>
          <w:color w:val="auto"/>
        </w:rPr>
        <w:t>If these third parties cease providing quality manufacturing and related services to us, and we are not able to engage appropriate replacements in a timely manner, our ability to manufacture our products or product candidates in sufficient quality and quantity required for our planned commercial, pre-clinical and clinical or EAPs, our various product research, development and commercialization efforts would be adversely affected.</w:t>
      </w:r>
    </w:p>
    <w:p>
      <w:pPr>
        <w:spacing w:after="0" w:line="147" w:lineRule="exact"/>
        <w:rPr>
          <w:sz w:val="20"/>
          <w:szCs w:val="20"/>
          <w:color w:val="auto"/>
        </w:rPr>
      </w:pPr>
    </w:p>
    <w:p>
      <w:pPr>
        <w:ind w:right="460" w:firstLine="749"/>
        <w:spacing w:after="0" w:line="248" w:lineRule="auto"/>
        <w:rPr>
          <w:sz w:val="20"/>
          <w:szCs w:val="20"/>
          <w:color w:val="auto"/>
        </w:rPr>
      </w:pPr>
      <w:r>
        <w:rPr>
          <w:rFonts w:ascii="Arial" w:cs="Arial" w:eastAsia="Arial" w:hAnsi="Arial"/>
          <w:sz w:val="18"/>
          <w:szCs w:val="18"/>
          <w:color w:val="auto"/>
        </w:rPr>
        <w:t>Furthermore, any problems in our manufacturing process or the facilities with which we contract make us a less attractive collaborator for potential partners, including larger pharmaceutical companies and academic research institutions, which could limit our access to additional attractive development programs.</w:t>
      </w:r>
    </w:p>
    <w:p>
      <w:pPr>
        <w:spacing w:after="0" w:line="18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We, through our third-party manufacturers, seek to produce or produce supply of our products and product candidates. In light of the limited number of third parties with the expertise to produce our products and product candidates, the lead time needed to manufacture them, and the availability of underlying materials, we may not be able to, in a timely manner or at all, establish or maintain sufficient commercial and other manufacturing arrangements on the commercially reasonable terms necessary to provide adequate supply of our products and product candidates. Furthermore, we may not be able to obtain the significant financial capital that may be required in connection with such arrangements. Even after successfully engaging third parties to execute the manufacturing process for our products and product candidates, such parties may not comply with the terms and timelines they have agreed to for various reasons, some of which may be out of their or our control, which impacts our ability to execute our business plans on expected or required timelines in connection with the commercialization of our products and the continued development of our product candidates. When we enter into long-term manufacturing agreements that contain exclusivity provisions and /or substantial termination penalties, we constrain our operational flexibility.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2" w:name="page53"/>
    <w:bookmarkEnd w:id="52"/>
    <w:p>
      <w:pPr>
        <w:ind w:firstLine="749"/>
        <w:spacing w:after="0" w:line="284" w:lineRule="auto"/>
        <w:rPr>
          <w:sz w:val="20"/>
          <w:szCs w:val="20"/>
          <w:color w:val="auto"/>
        </w:rPr>
      </w:pPr>
      <w:r>
        <w:rPr>
          <w:rFonts w:ascii="Arial" w:cs="Arial" w:eastAsia="Arial" w:hAnsi="Arial"/>
          <w:sz w:val="16"/>
          <w:szCs w:val="16"/>
          <w:color w:val="auto"/>
        </w:rPr>
        <w:t>The operations at one of our partner sites could also be disturbed by man-made or natural disasters or public health pandemics or epidemics or other business interrupts. For example, a significant outbreak of COVID-19 at one of our partner sites could lead to delays in the manufacturing of our products and product candidates. In addition, the need to prioritize rated orders issued by the Federal Emergency Management Agency pursuant to the U.S. Defense Production Act could impact the manufacturing, supply chain and distribution of our products and product candidates.</w:t>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The third parties we use in the manufacturing process for our products and product candidates may fail to comply with cGMP regulations.</w:t>
      </w:r>
    </w:p>
    <w:p>
      <w:pPr>
        <w:spacing w:after="0" w:line="125" w:lineRule="exact"/>
        <w:rPr>
          <w:sz w:val="20"/>
          <w:szCs w:val="20"/>
          <w:color w:val="auto"/>
        </w:rPr>
      </w:pPr>
    </w:p>
    <w:p>
      <w:pPr>
        <w:ind w:right="120" w:firstLine="749"/>
        <w:spacing w:after="0" w:line="222" w:lineRule="auto"/>
        <w:rPr>
          <w:sz w:val="20"/>
          <w:szCs w:val="20"/>
          <w:color w:val="auto"/>
        </w:rPr>
      </w:pPr>
      <w:r>
        <w:rPr>
          <w:rFonts w:ascii="Arial" w:cs="Arial" w:eastAsia="Arial" w:hAnsi="Arial"/>
          <w:sz w:val="17"/>
          <w:szCs w:val="17"/>
          <w:color w:val="auto"/>
        </w:rPr>
        <w:t>Our contract manufacturers are required to produce our materials, APIs and drug products under cGMP. We and our contract manufacturers are subject to periodic inspections by the FDA, EMA and corresponding state and foreign authorities to ensure strict compliance with cGMP and other applicable government regulations. In addition, before we can begin to commercially manufacture our product candidates in third-party or our own facilities, we must obtain regulatory approval from the FDA, which includes a review of the manufacturing process and facility. A manufacturing authorization also must be obtained from the appropriate EU regulatory authorities and may be required by other foreign regulatory authorities. The timeframe required to obtain such approval or authorization is uncertain. In order to obtain approval, we need to demonstrate that all of our processes, methods and equipment are compliant with cGMP, and perform extensive audits of vendors, contract laboratories and suppliers. In complying with cGMP, we are obligated to expend time, money and effort in production, record keeping and quality control to seek to assure that the product meets applicable specifications and other requirements.</w:t>
      </w:r>
    </w:p>
    <w:p>
      <w:pPr>
        <w:spacing w:after="0" w:line="168" w:lineRule="exact"/>
        <w:rPr>
          <w:sz w:val="20"/>
          <w:szCs w:val="20"/>
          <w:color w:val="auto"/>
        </w:rPr>
      </w:pPr>
    </w:p>
    <w:p>
      <w:pPr>
        <w:ind w:right="140" w:firstLine="749"/>
        <w:spacing w:after="0" w:line="228" w:lineRule="auto"/>
        <w:rPr>
          <w:sz w:val="20"/>
          <w:szCs w:val="20"/>
          <w:color w:val="auto"/>
        </w:rPr>
      </w:pPr>
      <w:r>
        <w:rPr>
          <w:rFonts w:ascii="Arial" w:cs="Arial" w:eastAsia="Arial" w:hAnsi="Arial"/>
          <w:sz w:val="17"/>
          <w:szCs w:val="17"/>
          <w:color w:val="auto"/>
        </w:rPr>
        <w:t>We do not have direct operational control over a third-party manufacturer’s compliance with regulations and requirements. In addition, changes in cGMP could negatively impact the ability of our contract manufacturers to complete the manufacturing process of our products and product candidates in a compliant manner on the schedule we require for commercial and clinical trial use, respectively. Failure to achieve and maintain compliance with cGMP and other applicable government regulations, including failure to detect or control anticipated or unanticipated manufacturing errors, results in product recalls, clinical holds, delayed or withheld approvals, patient injury or death.</w:t>
      </w:r>
    </w:p>
    <w:p>
      <w:pPr>
        <w:spacing w:after="0" w:line="179"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Failure by our contract manufacturers to adhere to applicable cGMP and other applicable government regulations, or our contract manufacturers experiencing manufacturing problems, may result in significant negative consequences, including product seizures or recalls, postponement or cancellation of clinical trials, loss or delay of product approval, fines and sanctions, loss of revenue, termination of the development of a product candidate, reputational damage, shipment delays, inventory shortages, inventory write-offs and other product-related charges and increased manufacturing costs. If we experience any of these consequences, the success of our commercialization of our products and/or our development efforts for our product candidates could be significantly delayed, fail or otherwise be negatively impacted.</w:t>
      </w:r>
    </w:p>
    <w:p>
      <w:pPr>
        <w:spacing w:after="0" w:line="283"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b w:val="1"/>
          <w:bCs w:val="1"/>
          <w:i w:val="1"/>
          <w:iCs w:val="1"/>
          <w:color w:val="auto"/>
        </w:rPr>
        <w:t>We may not be able to successfully scale up manufacturing of our products or product candidates in sufficient quality and quantity or within targeted timelines, or be able to secure ownership of intellectual property rights developed in this process, which could negatively impact the commercial success of our products and/or the development of our product candidates.</w:t>
      </w:r>
    </w:p>
    <w:p>
      <w:pPr>
        <w:spacing w:after="0" w:line="74"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We are working to increase manufacturing capacity and scale up production of some of the components of our drug products. Our focus remains on (i) achieving larger-scale manufacturing capacity for our products and product candidates throughout the manufacturing supply chain, (ii) continuing to increase material and API production capacity to provide the anticipated amounts of drug product needed for our planned studies for our product candidates and (iii) optimizing manufacturing for our follow-on exon skipping product candidates and other programs, including PPMO and gene therapy. We may not be able to successfully increase manufacturing capacity or scale up the production of materials, APIs and drug products, whether in collaboration with third party manufacturers or on our own, in a manner that is safe, compliant with cGMP conditions or other applicable legal or regulatory requirements, in a cost-effective manner, in a time frame required to meet our timeline for commercialization, clinical trials and other business plans, or at all.</w:t>
      </w:r>
    </w:p>
    <w:p>
      <w:pPr>
        <w:spacing w:after="0" w:line="163" w:lineRule="exact"/>
        <w:rPr>
          <w:sz w:val="20"/>
          <w:szCs w:val="20"/>
          <w:color w:val="auto"/>
        </w:rPr>
      </w:pPr>
    </w:p>
    <w:p>
      <w:pPr>
        <w:ind w:right="120" w:firstLine="749"/>
        <w:spacing w:after="0" w:line="253" w:lineRule="auto"/>
        <w:rPr>
          <w:sz w:val="20"/>
          <w:szCs w:val="20"/>
          <w:color w:val="auto"/>
        </w:rPr>
      </w:pPr>
      <w:r>
        <w:rPr>
          <w:rFonts w:ascii="Arial" w:cs="Arial" w:eastAsia="Arial" w:hAnsi="Arial"/>
          <w:sz w:val="17"/>
          <w:szCs w:val="17"/>
          <w:color w:val="auto"/>
        </w:rPr>
        <w:t>Challenges complying with cGMP requirements and other quality issues arise during efforts to increase manufacturing capacity and scale up production. We experience such issues in connection with manufacturing, packaging and storage of our products and product candidates, and during shipping and storage of the APIs or finished drug product. In addition, in order to release our products for commercial use and demonstrate stability of product candidates for use in clinical trials (and any subsequent drug products for commercial use), our manufacturing processes and analytical methods must be validated in accordance with regulatory guidelines. Failure to successfully validate, or maintain validation of, our manufacturing processes and analytical methods or demonstrate adequate purity, stability or comparability of our products or product candidates in a timely or cost-effective manner, or at all, may undermine our commercial efforts. Failure to successfully validate our manufacturing processes and analytical methods or to demonstrate adequate purity, stability or comparability, will negatively impact the commercial availability of our products and the continued development and/or regulatory approval of our product candidates, which could significantly harm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160" w:firstLine="749"/>
        <w:spacing w:after="0" w:line="255" w:lineRule="auto"/>
        <w:rPr>
          <w:sz w:val="20"/>
          <w:szCs w:val="20"/>
          <w:color w:val="auto"/>
        </w:rPr>
      </w:pPr>
      <w:r>
        <w:rPr>
          <w:rFonts w:ascii="Arial" w:cs="Arial" w:eastAsia="Arial" w:hAnsi="Arial"/>
          <w:sz w:val="17"/>
          <w:szCs w:val="17"/>
          <w:color w:val="auto"/>
        </w:rPr>
        <w:t>During our work with our third-party manufacturers to increase and optimize manufacturing capacity and scale up production, they may make proprietary improvements in the manufacturing and scale-up processes for our products or product candidates. We may not own or be able to secure ownership of such improvements or may have to share the intellectual property rights to those improvements. Additionally, we may need additional processes, technologies and validation studies, which could be costly and which we may not be able to develop or acquire from third parties. Failure to secure the intellectual property rights required for the manufacturing process needed for large-scale clinical trials or commercialization of our products or the continued development of our product candidates could cause significant delays in our business plans or otherwise negatively impact the commercialization of our products or the continued development of our product candidates.</w:t>
      </w:r>
    </w:p>
    <w:p>
      <w:pPr>
        <w:spacing w:after="0" w:line="288" w:lineRule="exact"/>
        <w:rPr>
          <w:sz w:val="20"/>
          <w:szCs w:val="20"/>
          <w:color w:val="auto"/>
        </w:rPr>
      </w:pPr>
    </w:p>
    <w:p>
      <w:pPr>
        <w:ind w:right="120" w:firstLine="749"/>
        <w:spacing w:after="0" w:line="356" w:lineRule="auto"/>
        <w:rPr>
          <w:sz w:val="20"/>
          <w:szCs w:val="20"/>
          <w:color w:val="auto"/>
        </w:rPr>
      </w:pPr>
      <w:r>
        <w:rPr>
          <w:rFonts w:ascii="Arial" w:cs="Arial" w:eastAsia="Arial" w:hAnsi="Arial"/>
          <w:sz w:val="15"/>
          <w:szCs w:val="15"/>
          <w:b w:val="1"/>
          <w:bCs w:val="1"/>
          <w:i w:val="1"/>
          <w:iCs w:val="1"/>
          <w:color w:val="auto"/>
        </w:rPr>
        <w:t>Products intended for use in gene therapies are novel, complex and difficult to manufacture. We could experience production problems that result in delays in our development or commercialization of gene therapy programs, limit the supply of our products or otherwise harm our business.</w:t>
      </w:r>
    </w:p>
    <w:p>
      <w:pPr>
        <w:spacing w:after="0" w:line="1" w:lineRule="exact"/>
        <w:rPr>
          <w:sz w:val="20"/>
          <w:szCs w:val="20"/>
          <w:color w:val="auto"/>
        </w:rPr>
      </w:pPr>
    </w:p>
    <w:p>
      <w:pPr>
        <w:ind w:right="260" w:firstLine="749"/>
        <w:spacing w:after="0" w:line="270" w:lineRule="auto"/>
        <w:rPr>
          <w:sz w:val="20"/>
          <w:szCs w:val="20"/>
          <w:color w:val="auto"/>
        </w:rPr>
      </w:pPr>
      <w:r>
        <w:rPr>
          <w:rFonts w:ascii="Arial" w:cs="Arial" w:eastAsia="Arial" w:hAnsi="Arial"/>
          <w:sz w:val="17"/>
          <w:szCs w:val="17"/>
          <w:color w:val="auto"/>
        </w:rPr>
        <w:t>We currently have development, manufacturing and testing agreements with third parties to manufacture supplies of our gene therapy product candidates. Several factors could cause production interruptions, including equipment malfunctions, facility contamination, raw material shortages or contamination, natural disasters, disruption in utility services, human error or disruptions in the operations of suppliers.</w:t>
      </w:r>
    </w:p>
    <w:p>
      <w:pPr>
        <w:spacing w:after="0" w:line="164"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and/or commercial-grade materials that meet FDA, EMA or other applicable foreign standards or specifications with consistent and acceptable production yields and costs.</w:t>
      </w:r>
    </w:p>
    <w:p>
      <w:pPr>
        <w:spacing w:after="0" w:line="191"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competent authority authorizes its release. Slight deviations in the manufacturing process, including those affecting quality attributes and stability and deviations among different sites,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75" w:lineRule="exact"/>
        <w:rPr>
          <w:sz w:val="20"/>
          <w:szCs w:val="20"/>
          <w:color w:val="auto"/>
        </w:rPr>
      </w:pPr>
    </w:p>
    <w:p>
      <w:pPr>
        <w:ind w:right="100" w:firstLine="749"/>
        <w:spacing w:after="0" w:line="254" w:lineRule="auto"/>
        <w:rPr>
          <w:sz w:val="20"/>
          <w:szCs w:val="20"/>
          <w:color w:val="auto"/>
        </w:rPr>
      </w:pPr>
      <w:r>
        <w:rPr>
          <w:rFonts w:ascii="Arial" w:cs="Arial" w:eastAsia="Arial" w:hAnsi="Arial"/>
          <w:sz w:val="17"/>
          <w:szCs w:val="17"/>
          <w:color w:val="auto"/>
        </w:rPr>
        <w:t>As our product candidates advance to later stage clinical trials, it is customary that various aspects of the development program, such as manufacturing, formulation and other processes, and methods of administration, may be altered to optimize the candidates and processes for scale-up necessary for later stage clinical trials and potential approval and commercialization. These changes may not produce the intended optimization, including production of drug substance and drug product of a quality and in a quantity sufficient for Phase 3 clinical stage development or for commercialization, which may cause delays in the initiation or completion of clinical trials and greater costs. We may also need to conduct additional studies to demonstrate comparability between newly manufactured drug substance and/or drug product for commercialization relative to previously manufactured drug substance and/or drug product for clinical trials. Demonstrating comparability may require us to incur additional costs or delay initiation or completion of clinical trials and, if unsuccessful, could require us to complete additional pre-clinical studies or clinical trials.</w:t>
      </w:r>
    </w:p>
    <w:p>
      <w:pPr>
        <w:spacing w:after="0" w:line="181" w:lineRule="exact"/>
        <w:rPr>
          <w:sz w:val="20"/>
          <w:szCs w:val="20"/>
          <w:color w:val="auto"/>
        </w:rPr>
      </w:pPr>
    </w:p>
    <w:p>
      <w:pPr>
        <w:ind w:firstLine="749"/>
        <w:spacing w:after="0" w:line="324"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24"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Furthermore, no manufacturer currently has the capacity and scalability to produce our vectors or gene therapy product candidates at commercial levels. Even if we timely develop a manufacturing process and successfully transfer it to the third-party vector and product manufacturers or successfully and timely develop our internal capacity, if we or such third-party manufacturers are unable to produce the necessary quantities of viral vectors and our product candidates, or in compliance with GMP or other pertinent regulatory requirements, and within our planned time frame and cost parameters, it may result in delays in our development plans or increased capital expenditures, and the development and sales of our products, if approved, may be materially harmed.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b w:val="1"/>
          <w:bCs w:val="1"/>
          <w:i w:val="1"/>
          <w:iCs w:val="1"/>
          <w:color w:val="auto"/>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74"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We currently directly hold various issued patents and patent applications, or have exclusive license or option rights to issued patents and patent applications, in each case in the U.S. as well as other countries that protect our products, product candidates and platform technologies. We anticipate filing additional patent applications both in the U.S. and in other countries. Our success will depend, in significant part, on our ability to obtain, maintain and defend our U.S. and foreign patents covering our products, product candidates and platform technologies as well as preserving our trade secrets for these assets. The patent process is subject to numerous risks and uncertainties, and we can provide no assurance that we will be successful in obtaining, maintaining, or defending our patents. Even when our patent claims are allowed, the claims may not issue, or in the event of issuance, may not be sufficient to protect our products, product candidates or platform technologies.</w:t>
      </w:r>
    </w:p>
    <w:p>
      <w:pPr>
        <w:spacing w:after="0" w:line="180"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The patent positions of pharmaceutical, biotechnology and other life sciences companies can be highly uncertain and involve complex legal and factual questions for which important legal principles remain unresolved. This uncertainty is heightened for our PMO-based products and product candidates and gene therapy-based product candidates for which there has been little patent litigation involving such technologies. No consistent policy regarding the breadth of claims allowed in biotechnology patents has emerged to date in the U.S. and tests used for determining the patentability of patent claims in all technologies are in flux.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 Patents which may be issued to us may be subjected to further governmental review that may ultimately result in the reduction of their scope of protection, and pending patent applications may have their requested breadth of protection significantly limited before being issued, if issued at all. The pharmaceutical, biotechnology and other life sciences patent situation outside the U.S. can be even more uncertain.</w:t>
      </w:r>
    </w:p>
    <w:p>
      <w:pPr>
        <w:spacing w:after="0" w:line="183"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As a matter of public policy, there might be significant pressure on governmental bodies to limit the scope of patent protection or impose compulsory licenses for disease treatments that prove successful, particularly as a tactic to impose a price control. Additionally, competitors may leverage such pressure to enhance their ability to exploit these laws to create, develop and market competing products.</w:t>
      </w:r>
    </w:p>
    <w:p>
      <w:pPr>
        <w:spacing w:after="0" w:line="182"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We may be able to assert that certain activities engaged in by our competitors infringe on our current or future patent rights. To the extent that we enforce our patents, an alleged infringer may deny infringement and/or counter-claim that our patents are not valid, and if successful, could negatively impact our patent estate. We may not be able to successfully defend patents necessary to prevent competitors from developing or commercializing competing product candidates or products. To the extent we assert infringement of a patent that covers a competing product candidate or product as well as our own product candidate(s) or product(s), or such a patent is otherwise challenged without our initiation, the patent protection for our own product candidate(s) or product(s) could be materially adversely affected should an infringing competitor be successful challenging the validity of our patent. Our patent rights might be challenged, invalidated, circumvented or otherwise not provide any competitive advantage. Defending our patent positions may require significant financial resources and could negatively impact other Company objectives. Even if we successfully enforce our patent rights against a competitor, we may not be able to recover adequate damages or obtain other desired relief.</w:t>
      </w:r>
    </w:p>
    <w:p>
      <w:pPr>
        <w:spacing w:after="0" w:line="170" w:lineRule="exact"/>
        <w:rPr>
          <w:sz w:val="20"/>
          <w:szCs w:val="20"/>
          <w:color w:val="auto"/>
        </w:rPr>
      </w:pPr>
    </w:p>
    <w:p>
      <w:pPr>
        <w:ind w:right="20" w:firstLine="749"/>
        <w:spacing w:after="0" w:line="221" w:lineRule="auto"/>
        <w:rPr>
          <w:sz w:val="20"/>
          <w:szCs w:val="20"/>
          <w:color w:val="auto"/>
        </w:rPr>
      </w:pPr>
      <w:r>
        <w:rPr>
          <w:rFonts w:ascii="Arial" w:cs="Arial" w:eastAsia="Arial" w:hAnsi="Arial"/>
          <w:sz w:val="17"/>
          <w:szCs w:val="17"/>
          <w:color w:val="auto"/>
        </w:rPr>
        <w:t>Under the Hatch-Waxman Act, one or more motivated third parties may file an ANDA, seeking approval of a generic copy of an innovator product approved under the NDA pathway such as our PMO products, or an NDA under Section 505(b)(2), which may be for a new or improved version of the original innovator products. In certain circumstances, motivated third parties may file such an ANDA or NDA under Section 505(b)(2) as early as the so-called “NCE-1” date that is one year before the expiry of the five-year period of New Chemical Entity exclusivity or more generally four years after NDA approval. The third parties are allowed to rely on the safety and efficacy data of the innovator’s product, may not need to conduct clinical trials and can market a competing version of a product after the expiration or loss of patent exclusivity or the expiration or loss of regulatory exclusivity and often charge significantly lower prices. Upon the expiration or loss of patent protection or the expiration or loss of regulatory exclusivity for a product, the major portion of revenues for that product may be dramatically reduced in a very short period of time. If we are not successful in defending our patents and regulatory exclusivities, we will not derive the expected benefit from them. As such, a third party could be positioned to market an ANDA or Section 505(b)(2) product that competes with one of our products prior to the expiry of our patents if the third party successfully challenged the validity of our patents protecting the product.</w:t>
      </w:r>
    </w:p>
    <w:p>
      <w:pPr>
        <w:spacing w:after="0" w:line="167" w:lineRule="exact"/>
        <w:rPr>
          <w:sz w:val="20"/>
          <w:szCs w:val="20"/>
          <w:color w:val="auto"/>
        </w:rPr>
      </w:pPr>
    </w:p>
    <w:p>
      <w:pPr>
        <w:ind w:right="120" w:firstLine="749"/>
        <w:spacing w:after="0" w:line="219" w:lineRule="auto"/>
        <w:rPr>
          <w:sz w:val="20"/>
          <w:szCs w:val="20"/>
          <w:color w:val="auto"/>
        </w:rPr>
      </w:pPr>
      <w:r>
        <w:rPr>
          <w:rFonts w:ascii="Arial" w:cs="Arial" w:eastAsia="Arial" w:hAnsi="Arial"/>
          <w:sz w:val="18"/>
          <w:szCs w:val="18"/>
          <w:color w:val="auto"/>
        </w:rPr>
        <w:t>The patent landscape is continually evolving, and we may be able to assert that certain activities engaged in by third parties infringe our current or future patent rights. There has been, and we believe that there will continue to be, significant litigation in the biopharmaceutical and pharmaceutical industries regarding patent and other intellectual property rights. As such, the patents and patent applications that we own, license, have optioned, and rely on for exclusivity for our product candidates may be challenged.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5" w:name="page56"/>
    <w:bookmarkEnd w:id="55"/>
    <w:p>
      <w:pPr>
        <w:ind w:right="80" w:firstLine="749"/>
        <w:spacing w:after="0" w:line="261" w:lineRule="auto"/>
        <w:rPr>
          <w:sz w:val="20"/>
          <w:szCs w:val="20"/>
          <w:color w:val="auto"/>
        </w:rPr>
      </w:pPr>
      <w:r>
        <w:rPr>
          <w:rFonts w:ascii="Arial" w:cs="Arial" w:eastAsia="Arial" w:hAnsi="Arial"/>
          <w:sz w:val="18"/>
          <w:szCs w:val="18"/>
          <w:b w:val="1"/>
          <w:bCs w:val="1"/>
          <w:i w:val="1"/>
          <w:iCs w:val="1"/>
          <w:color w:val="auto"/>
        </w:rPr>
        <w:t>Uncertainty over intellectual property in the pharmaceutical and biotechnology industry has been the source of litigation and other disputes, which is inherently costly and unpredictable.</w:t>
      </w:r>
    </w:p>
    <w:p>
      <w:pPr>
        <w:spacing w:after="0" w:line="157" w:lineRule="exact"/>
        <w:rPr>
          <w:sz w:val="20"/>
          <w:szCs w:val="20"/>
          <w:color w:val="auto"/>
        </w:rPr>
      </w:pPr>
    </w:p>
    <w:p>
      <w:pPr>
        <w:ind w:firstLine="749"/>
        <w:spacing w:after="0" w:line="234" w:lineRule="auto"/>
        <w:rPr>
          <w:sz w:val="20"/>
          <w:szCs w:val="20"/>
          <w:color w:val="auto"/>
        </w:rPr>
      </w:pPr>
      <w:r>
        <w:rPr>
          <w:rFonts w:ascii="Arial" w:cs="Arial" w:eastAsia="Arial" w:hAnsi="Arial"/>
          <w:sz w:val="16"/>
          <w:szCs w:val="16"/>
          <w:color w:val="auto"/>
        </w:rPr>
        <w:t>Litigation, interferences, oppositions, inter partes reviews, administrative challenges or other similar types of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 candidates or products. We may also face challenges to our patent and regulatory exclusivities covering our products by third parties, including manufacturers of generics and biosimilars that may choose to launch or attempt to launch their products before the expiration of our patent or regulatory exclusivity. Litigation, interferences, oppositions, inter partes reviews, administrative challenges or other similar types of proceedings are unpredictable and may be protracted, expensive and distracting to management. The outcomes of such proceedings could adversely affect the validity and scope of our patents or other proprietary rights, hinder our ability to manufacture and market our products, require us to seek a license for the infringed products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developing, manufacturing or selling our products. Furthermore, payments under any licenses that we are able to obtain would reduce our profits derived from our products. Any of these circumstances could result in financial, business or reputational harm to us or could cause a decline or volatility in our stock price.</w:t>
      </w:r>
    </w:p>
    <w:p>
      <w:pPr>
        <w:spacing w:after="0" w:line="169" w:lineRule="exact"/>
        <w:rPr>
          <w:sz w:val="20"/>
          <w:szCs w:val="20"/>
          <w:color w:val="auto"/>
        </w:rPr>
      </w:pPr>
    </w:p>
    <w:p>
      <w:pPr>
        <w:ind w:firstLine="749"/>
        <w:spacing w:after="0" w:line="22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has issued regulations and procedures to govern administration of the Leahy-Smith Act. In view of the long timelines for interpreting legal provisions in the court system and the evolving nature of our laws,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For instance, a third party may petition the Patent Trial and Appeal Board (“PTAB”) seeking to challenge some or all of the claims in any of our patents through an inter partes review or other post-grant proceeding. Should the PTAB institute an inter partes review or other proceeding and decide that some or all of the claims in the challenged patent are unpatentable or invalid, such a decision, if upheld on appeal, could have a material adverse effect on our business and financial condition.</w:t>
      </w:r>
    </w:p>
    <w:p>
      <w:pPr>
        <w:spacing w:after="0" w:line="284"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b w:val="1"/>
          <w:bCs w:val="1"/>
          <w:i w:val="1"/>
          <w:iCs w:val="1"/>
          <w:color w:val="auto"/>
        </w:rPr>
        <w:t>Our business prospects will be impaired if third parties successfully assert that our products, product candidates, or platform technologies infringe proprietary rights of such third parties.</w:t>
      </w:r>
    </w:p>
    <w:p>
      <w:pPr>
        <w:spacing w:after="0" w:line="171" w:lineRule="exact"/>
        <w:rPr>
          <w:sz w:val="20"/>
          <w:szCs w:val="20"/>
          <w:color w:val="auto"/>
        </w:rPr>
      </w:pPr>
    </w:p>
    <w:p>
      <w:pPr>
        <w:ind w:right="120" w:firstLine="749"/>
        <w:spacing w:after="0" w:line="253" w:lineRule="auto"/>
        <w:rPr>
          <w:sz w:val="20"/>
          <w:szCs w:val="20"/>
          <w:color w:val="auto"/>
        </w:rPr>
      </w:pPr>
      <w:r>
        <w:rPr>
          <w:rFonts w:ascii="Arial" w:cs="Arial" w:eastAsia="Arial" w:hAnsi="Arial"/>
          <w:sz w:val="17"/>
          <w:szCs w:val="17"/>
          <w:color w:val="auto"/>
        </w:rPr>
        <w:t>Similar to us, competitors continually seek intellectual property protection for their technology. Several of our development programs, particularly gene therapy programs, focus on therapeutic areas that have been the subject of extensive research and development by third parties for many years and have been protected with third party patent rights. Due to the amount of intellectual property in our various fields of technology, we cannot be certain that we do not infringe intellectual property rights of competitors or other third parties or that we will not infringe intellectual property rights of competitors or other third parties granted or created in the future. Moreover, activities we conduct or those conducted on our behalf in connection with the development of our product candidates may not be protected from infringement under the so-called Safe Harbor of the Hatch-Waxman Act and thus be found to infringe the patent rights of third parties. Our competitors or other third parties might have obtained, or could obtain in the future, patents that threaten, limit, interfere with or eliminate our ability to make, use and sell our products, product candidates or platform technologies in important commercial markets.</w:t>
      </w:r>
    </w:p>
    <w:p>
      <w:pPr>
        <w:spacing w:after="0" w:line="18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Due to the nature of our various partnerships, collaborators, licensors, CROs, CMOs and the like, we may be subjected to claims of infringement arising from activities conducted by these third parties in connection with our product candidates, whether or not such activities are authorized by us. In addition, we may have contractual obligations to indemnify these partners from claims of infringement or declaratory relief. As a result, we may be subject to substantial unforeseen costs, distraction, and financial liability if a third party making such a claim was successful in obtaining a final judgment of infringement and validity.</w:t>
      </w:r>
    </w:p>
    <w:p>
      <w:pPr>
        <w:spacing w:after="0" w:line="189" w:lineRule="exact"/>
        <w:rPr>
          <w:sz w:val="20"/>
          <w:szCs w:val="20"/>
          <w:color w:val="auto"/>
        </w:rPr>
      </w:pPr>
    </w:p>
    <w:p>
      <w:pPr>
        <w:jc w:val="both"/>
        <w:ind w:right="260" w:firstLine="749"/>
        <w:spacing w:after="0" w:line="243" w:lineRule="auto"/>
        <w:rPr>
          <w:sz w:val="20"/>
          <w:szCs w:val="20"/>
          <w:color w:val="auto"/>
        </w:rPr>
      </w:pPr>
      <w:r>
        <w:rPr>
          <w:rFonts w:ascii="Arial" w:cs="Arial" w:eastAsia="Arial" w:hAnsi="Arial"/>
          <w:sz w:val="18"/>
          <w:szCs w:val="18"/>
          <w:color w:val="auto"/>
        </w:rPr>
        <w:t>In order to maintain or obtain freedom to operate for our products and product candidates, we may incur significant expenses, including those associated with entering into agreements with third parties that require milestone and royalty payments. Additionally, if we were to challenge the patent rights of our competitors or otherwise defend against allegations of infringement, misappropriation, breach of contract or related claims, we could incur substantial costs and ultimately might not be successful.</w:t>
      </w:r>
    </w:p>
    <w:p>
      <w:pPr>
        <w:spacing w:after="0" w:line="174" w:lineRule="exact"/>
        <w:rPr>
          <w:sz w:val="20"/>
          <w:szCs w:val="20"/>
          <w:color w:val="auto"/>
        </w:rPr>
      </w:pPr>
    </w:p>
    <w:p>
      <w:pPr>
        <w:ind w:right="160" w:firstLine="749"/>
        <w:spacing w:after="0" w:line="235" w:lineRule="auto"/>
        <w:rPr>
          <w:sz w:val="20"/>
          <w:szCs w:val="20"/>
          <w:color w:val="auto"/>
        </w:rPr>
      </w:pPr>
      <w:r>
        <w:rPr>
          <w:rFonts w:ascii="Arial" w:cs="Arial" w:eastAsia="Arial" w:hAnsi="Arial"/>
          <w:sz w:val="18"/>
          <w:szCs w:val="18"/>
          <w:color w:val="auto"/>
        </w:rPr>
        <w:t>If our products, product candidates, or platform technologies are alleged to infringe or are determined to infringe enforceable proprietary rights of others, we could incur substantial costs and may have to:</w:t>
      </w:r>
    </w:p>
    <w:p>
      <w:pPr>
        <w:spacing w:after="0" w:line="54" w:lineRule="exact"/>
        <w:rPr>
          <w:sz w:val="20"/>
          <w:szCs w:val="20"/>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 rights or licenses from others, which might not be available on commercially reasonable terms or at all;</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abandon development of an infringing product candidate, or cease commercialization of an infringing product;</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redesign our products, product candidates or processes to avoid infringement;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6" w:name="page57"/>
    <w:bookmarkEnd w:id="56"/>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damages; and/or</w:t>
      </w:r>
    </w:p>
    <w:p>
      <w:pPr>
        <w:spacing w:after="0" w:line="76" w:lineRule="exact"/>
        <w:rPr>
          <w:rFonts w:ascii="Arial" w:cs="Arial" w:eastAsia="Arial" w:hAnsi="Arial"/>
          <w:sz w:val="18"/>
          <w:szCs w:val="18"/>
          <w:color w:val="auto"/>
        </w:rPr>
      </w:pPr>
    </w:p>
    <w:p>
      <w:pPr>
        <w:ind w:left="1260" w:right="340" w:hanging="503"/>
        <w:spacing w:after="0" w:line="235"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might be costly whether we win or lose, and which could result in a substantial diversion of financial and management resources.</w:t>
      </w:r>
    </w:p>
    <w:p>
      <w:pPr>
        <w:spacing w:after="0" w:line="162" w:lineRule="exact"/>
        <w:rPr>
          <w:sz w:val="20"/>
          <w:szCs w:val="20"/>
          <w:color w:val="auto"/>
        </w:rPr>
      </w:pPr>
    </w:p>
    <w:p>
      <w:pPr>
        <w:ind w:right="60" w:firstLine="749"/>
        <w:spacing w:after="0" w:line="214" w:lineRule="auto"/>
        <w:rPr>
          <w:sz w:val="20"/>
          <w:szCs w:val="20"/>
          <w:color w:val="auto"/>
        </w:rPr>
      </w:pPr>
      <w:r>
        <w:rPr>
          <w:rFonts w:ascii="Arial" w:cs="Arial" w:eastAsia="Arial" w:hAnsi="Arial"/>
          <w:sz w:val="18"/>
          <w:szCs w:val="18"/>
          <w:color w:val="auto"/>
        </w:rPr>
        <w:t>Any of these events could result in product and product candidate development delays or cessation, and as such substantially harm our potential earnings, financial condition and operations. The patent landscape of our product candidates and products is continually evolving and multiple parties, including both commercial entities and academic institutions, may have rights to claims or may be pursuing additional claims that could provide these parties a basis to assert that our products, product candidates or platform technologies infringe on the intellectual property rights of such parties. There has been, and we believe that there will continue to be, significant litigation in the biopharmaceutical and pharmaceutical industries regarding patent and other intellectual property rights.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94" w:lineRule="exact"/>
        <w:rPr>
          <w:sz w:val="20"/>
          <w:szCs w:val="20"/>
          <w:color w:val="auto"/>
        </w:rPr>
      </w:pPr>
    </w:p>
    <w:p>
      <w:pPr>
        <w:ind w:right="580" w:firstLine="749"/>
        <w:spacing w:after="0" w:line="261" w:lineRule="auto"/>
        <w:rPr>
          <w:sz w:val="20"/>
          <w:szCs w:val="20"/>
          <w:color w:val="auto"/>
        </w:rPr>
      </w:pPr>
      <w:r>
        <w:rPr>
          <w:rFonts w:ascii="Arial" w:cs="Arial" w:eastAsia="Arial" w:hAnsi="Arial"/>
          <w:sz w:val="18"/>
          <w:szCs w:val="18"/>
          <w:b w:val="1"/>
          <w:bCs w:val="1"/>
          <w:i w:val="1"/>
          <w:iCs w:val="1"/>
          <w:color w:val="auto"/>
        </w:rPr>
        <w:t>Failure to comply with healthcare and other regulations is subject to substantial penalties and our business, operations and financial condition could be adversely affected.</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manufacturer of pharmaceuticals, within the U.S., certain federal and state healthcare laws and regulations apply to or affect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laws and regulations include:</w:t>
      </w:r>
    </w:p>
    <w:p>
      <w:pPr>
        <w:spacing w:after="0" w:line="88" w:lineRule="exact"/>
        <w:rPr>
          <w:sz w:val="20"/>
          <w:szCs w:val="20"/>
          <w:color w:val="auto"/>
        </w:rPr>
      </w:pPr>
    </w:p>
    <w:p>
      <w:pPr>
        <w:ind w:left="1260" w:right="200" w:hanging="503"/>
        <w:spacing w:after="0" w:line="294" w:lineRule="auto"/>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federal healthcare anti-kickback law, which prohibit,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39" w:lineRule="exact"/>
        <w:rPr>
          <w:rFonts w:ascii="Arial" w:cs="Arial" w:eastAsia="Arial" w:hAnsi="Arial"/>
          <w:sz w:val="16"/>
          <w:szCs w:val="16"/>
          <w:color w:val="auto"/>
        </w:rPr>
      </w:pPr>
    </w:p>
    <w:p>
      <w:pPr>
        <w:ind w:left="1260" w:right="680" w:hanging="503"/>
        <w:spacing w:after="0" w:line="324" w:lineRule="auto"/>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federal false claims laws which prohibit, among other things, individuals or entities from knowingly presenting, or causing to be presented, information or claims for payment from Medicare, Medicaid or other third-party payors that are false or fraudulent;</w:t>
      </w:r>
    </w:p>
    <w:p>
      <w:pPr>
        <w:spacing w:after="0" w:line="16" w:lineRule="exact"/>
        <w:rPr>
          <w:rFonts w:ascii="Arial" w:cs="Arial" w:eastAsia="Arial" w:hAnsi="Arial"/>
          <w:sz w:val="16"/>
          <w:szCs w:val="16"/>
          <w:color w:val="auto"/>
        </w:rPr>
      </w:pPr>
    </w:p>
    <w:p>
      <w:pPr>
        <w:ind w:left="1260" w:right="420" w:hanging="503"/>
        <w:spacing w:after="0" w:line="291"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Food, Drug and Cosmetic Act, which among other things, strictly regulates drug product and medical device marketing, prohibits manufacturers from marketing such products for off-label use and regulates the distribution of samples;</w:t>
      </w:r>
    </w:p>
    <w:p>
      <w:pPr>
        <w:spacing w:after="0" w:line="38" w:lineRule="exact"/>
        <w:rPr>
          <w:rFonts w:ascii="Arial" w:cs="Arial" w:eastAsia="Arial" w:hAnsi="Arial"/>
          <w:sz w:val="17"/>
          <w:szCs w:val="17"/>
          <w:color w:val="auto"/>
        </w:rPr>
      </w:pPr>
    </w:p>
    <w:p>
      <w:pPr>
        <w:ind w:left="1260" w:right="240" w:hanging="503"/>
        <w:spacing w:after="0" w:line="248"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3" w:lineRule="exact"/>
        <w:rPr>
          <w:rFonts w:ascii="Arial" w:cs="Arial" w:eastAsia="Arial" w:hAnsi="Arial"/>
          <w:sz w:val="18"/>
          <w:szCs w:val="18"/>
          <w:color w:val="auto"/>
        </w:rPr>
      </w:pPr>
    </w:p>
    <w:p>
      <w:pPr>
        <w:ind w:left="1260" w:hanging="503"/>
        <w:spacing w:after="0" w:line="248"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so-called “federal sunshine” law, which requires pharmaceutical and medical device companies to monitor and report certain financial interactions with teaching hospitals, physicians and certain non-physician practitioners to the federal government for re-disclosure to the public; and</w:t>
      </w:r>
    </w:p>
    <w:p>
      <w:pPr>
        <w:spacing w:after="0" w:line="73" w:lineRule="exact"/>
        <w:rPr>
          <w:rFonts w:ascii="Arial" w:cs="Arial" w:eastAsia="Arial" w:hAnsi="Arial"/>
          <w:sz w:val="18"/>
          <w:szCs w:val="18"/>
          <w:color w:val="auto"/>
        </w:rPr>
      </w:pPr>
    </w:p>
    <w:p>
      <w:pPr>
        <w:ind w:left="1260" w:right="80" w:hanging="503"/>
        <w:spacing w:after="0" w:line="241"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state law equivalents of the above federal laws, such as anti-kickback and false claims laws which may apply to items or services reimbursed by any third party payor, including commercial insurers, state laws regulating interactions between pharmaceutical manufactures and healthcare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189" w:lineRule="exact"/>
        <w:rPr>
          <w:sz w:val="20"/>
          <w:szCs w:val="20"/>
          <w:color w:val="auto"/>
        </w:rPr>
      </w:pPr>
    </w:p>
    <w:p>
      <w:pPr>
        <w:ind w:right="180" w:firstLine="749"/>
        <w:spacing w:after="0" w:line="241" w:lineRule="auto"/>
        <w:rPr>
          <w:sz w:val="20"/>
          <w:szCs w:val="20"/>
          <w:color w:val="auto"/>
        </w:rPr>
      </w:pPr>
      <w:r>
        <w:rPr>
          <w:rFonts w:ascii="Arial" w:cs="Arial" w:eastAsia="Arial" w:hAnsi="Arial"/>
          <w:sz w:val="18"/>
          <w:szCs w:val="18"/>
          <w:color w:val="auto"/>
        </w:rPr>
        <w:t>The number and complexity of both federal and state laws continues to increase; the laws contain ambiguous requirements or require administrative guidance for implementation; government interpretations of the laws continue to evolve; and additional governmental resources are being used to enforce these laws and to prosecute companies and individuals who are believed to be violating them. We anticipate that government scrutiny of pharmaceutical sales and marketing practices will continue for the foreseeable future and subject us to the risk of government investigations and enforcement actions.</w:t>
      </w:r>
    </w:p>
    <w:p>
      <w:pPr>
        <w:spacing w:after="0" w:line="189"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have implemented a compliance program, which is based on industry best practices and is designed to ensure that our activities comply with all applicable laws, regulations and industry standards. While our compliance program is intended to detect and prevent potential non-compliance, we cannot be certain that compliance will be assured. 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Responding to government investigations, defending any claims raised, and any resulting fines, restitution, damages and penalties, settlement payments or administrative actions, as well as any related actions brought by stockholders or other third parties, could have a material impact on our reputation, business and financial condition and divert the attention of our management from operating our business. Even if we successfully defend against an action against us for violation of a law, the action and our defense could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22" w:right="399" w:bottom="1440" w:gutter="0" w:footer="0" w:header="0"/>
        </w:sectPr>
      </w:pPr>
    </w:p>
    <w:bookmarkStart w:id="57" w:name="page58"/>
    <w:bookmarkEnd w:id="57"/>
    <w:p>
      <w:pPr>
        <w:ind w:right="20"/>
        <w:spacing w:after="0" w:line="291" w:lineRule="auto"/>
        <w:rPr>
          <w:sz w:val="20"/>
          <w:szCs w:val="20"/>
          <w:color w:val="auto"/>
        </w:rPr>
      </w:pPr>
      <w:r>
        <w:rPr>
          <w:rFonts w:ascii="Arial" w:cs="Arial" w:eastAsia="Arial" w:hAnsi="Arial"/>
          <w:sz w:val="17"/>
          <w:szCs w:val="17"/>
          <w:color w:val="auto"/>
        </w:rPr>
        <w:t>nonetheless cause us to incur significant legal expenses and divert our management’s attention from the operation of our business. Moreover, achieving and sustaining compliance with applicable federal and state privacy, security, fraud and reporting laws may prove costly.</w:t>
      </w:r>
    </w:p>
    <w:p>
      <w:pPr>
        <w:spacing w:after="0" w:line="255" w:lineRule="exact"/>
        <w:rPr>
          <w:sz w:val="20"/>
          <w:szCs w:val="20"/>
          <w:color w:val="auto"/>
        </w:rPr>
      </w:pPr>
    </w:p>
    <w:p>
      <w:pPr>
        <w:ind w:right="100" w:firstLine="749"/>
        <w:spacing w:after="0" w:line="291" w:lineRule="auto"/>
        <w:rPr>
          <w:sz w:val="20"/>
          <w:szCs w:val="20"/>
          <w:color w:val="auto"/>
        </w:rPr>
      </w:pPr>
      <w:r>
        <w:rPr>
          <w:rFonts w:ascii="Arial" w:cs="Arial" w:eastAsia="Arial" w:hAnsi="Arial"/>
          <w:sz w:val="17"/>
          <w:szCs w:val="17"/>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39"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including those governing laboratory procedures, exposure to blood-borne pathogens and the handling of bio-hazardous materials. Our operations involve the use of hazardous materials, including organic and inorganic solvents and reagents. Although we believe that our activities conform in all material respects with such environmental laws, there can be no assurance that violations of these laws will not occur in the future as a result of human error, accident, equipment failure or other causes. Liability under environmental, health and safety laws can be joint and several and without regard to fault or negligence. The failure to comply with past, present or future laws could result in the imposition of substantial fines and penalties, remediation costs, property damage and personal injury claims, loss of permits or a cessation of operations, and any of these events could harm our business and financial condition. We expect that our operations will be affected by other new environmental, health and workplace safety laws on an ongoing basis, and although we cannot predict the ultimate impact of any such new laws, they may impose greater compliance costs or result in increased risks or penalties, which could harm our business.</w:t>
      </w:r>
    </w:p>
    <w:p>
      <w:pPr>
        <w:spacing w:after="0" w:line="167"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Further, with respect to the operations of any current or future collaborators or third party contract manufacturers, it is possible that if they fail to operate in compliance with applicable environmental, health and safety laws and regulations or properly dispose of wastes associated with our product or product candidates, we could be held liable for any resulting damages, suffer reputational harm or experience a disruption in the manufacture and supply of our product or product candidates.</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Comprehensive tax reform in the U.S. and future guidance could adversely affect our business and financial condition.</w:t>
      </w:r>
    </w:p>
    <w:p>
      <w:pPr>
        <w:spacing w:after="0" w:line="104" w:lineRule="exact"/>
        <w:rPr>
          <w:sz w:val="20"/>
          <w:szCs w:val="20"/>
          <w:color w:val="auto"/>
        </w:rPr>
      </w:pPr>
    </w:p>
    <w:p>
      <w:pPr>
        <w:ind w:right="220" w:firstLine="749"/>
        <w:spacing w:after="0" w:line="274" w:lineRule="auto"/>
        <w:rPr>
          <w:sz w:val="20"/>
          <w:szCs w:val="20"/>
          <w:color w:val="auto"/>
        </w:rPr>
      </w:pPr>
      <w:r>
        <w:rPr>
          <w:rFonts w:ascii="Arial" w:cs="Arial" w:eastAsia="Arial" w:hAnsi="Arial"/>
          <w:sz w:val="16"/>
          <w:szCs w:val="16"/>
          <w:color w:val="auto"/>
        </w:rPr>
        <w:t>The Tax Cuts and Jobs Act (the “TCJA”) was enacted on December 22, 2017 in the U.S. The TCJA contains significant changes to corporate taxation, including reduction of the U.S. corporate tax rate from 35% to 21%, elimination of U.S. tax on foreign earnings (subject to certain important exceptions), one-time taxation of offshore earnings at reduced rates regardless of whether they are repatriated, limitation of the tax deduction for interest expense, immediate deductions for certain new investments instead of deductions for depreciation expense over time, and modifying or repealing many business deductions and credits. On March 27, 2020, President Trump signed into law the “Coronavirus Aid, Relief, and Economic Security Act” or the CARES Act, which included certain changes in tax law intended to stimulate the U.S. economy in light of the COVID-19 outbreak, including temporary beneficial changes to the treatment of net operating losses, interest deductibility limitations and payroll tax matters.</w:t>
      </w:r>
    </w:p>
    <w:p>
      <w:pPr>
        <w:spacing w:after="0" w:line="163"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We continue to monitor changes in tax laws in the U.S. and the impact of proposed and enacted legislation in the international jurisdictions in which the company operates. President Biden has provided informal guidance on tax law changes he may support. Among other things, his proposals would raise the rate on both domestic and foreign income. If any of these proposals are ultimately enacted into legislation, they could materially impact our tax provision, cash tax liability and effective tax rate.</w:t>
      </w:r>
    </w:p>
    <w:p>
      <w:pPr>
        <w:spacing w:after="0" w:line="282" w:lineRule="exact"/>
        <w:rPr>
          <w:sz w:val="20"/>
          <w:szCs w:val="20"/>
          <w:color w:val="auto"/>
        </w:rPr>
      </w:pPr>
    </w:p>
    <w:p>
      <w:pPr>
        <w:ind w:right="200" w:firstLine="849"/>
        <w:spacing w:after="0" w:line="224" w:lineRule="auto"/>
        <w:rPr>
          <w:sz w:val="20"/>
          <w:szCs w:val="20"/>
          <w:color w:val="auto"/>
        </w:rPr>
      </w:pPr>
      <w:r>
        <w:rPr>
          <w:rFonts w:ascii="Arial" w:cs="Arial" w:eastAsia="Arial" w:hAnsi="Arial"/>
          <w:sz w:val="18"/>
          <w:szCs w:val="18"/>
          <w:b w:val="1"/>
          <w:bCs w:val="1"/>
          <w:i w:val="1"/>
          <w:iCs w:val="1"/>
          <w:color w:val="auto"/>
        </w:rPr>
        <w:t>The COVID-19 pandemic has resulted, and may continue to result in disruptions to our commercialization, clinical trials, manufacturing and other business operations, which could have a material adverse effect on our business, financial condition, operating results, cash flows and prospects.</w:t>
      </w:r>
    </w:p>
    <w:p>
      <w:pPr>
        <w:spacing w:after="0" w:line="55" w:lineRule="exact"/>
        <w:rPr>
          <w:sz w:val="20"/>
          <w:szCs w:val="20"/>
          <w:color w:val="auto"/>
        </w:rPr>
      </w:pPr>
    </w:p>
    <w:p>
      <w:pPr>
        <w:ind w:right="80" w:firstLine="749"/>
        <w:spacing w:after="0" w:line="221" w:lineRule="auto"/>
        <w:rPr>
          <w:sz w:val="20"/>
          <w:szCs w:val="20"/>
          <w:color w:val="auto"/>
        </w:rPr>
      </w:pPr>
      <w:r>
        <w:rPr>
          <w:rFonts w:ascii="Arial" w:cs="Arial" w:eastAsia="Arial" w:hAnsi="Arial"/>
          <w:sz w:val="17"/>
          <w:szCs w:val="17"/>
          <w:color w:val="auto"/>
        </w:rPr>
        <w:t>The COVID-19 pandemic has presented a substantial public health and economic challenge around the world. The rapid spread of COVID-19 has led to the implementation of various responses, including government-imposed quarantines, shelter-in-place mandates, sweeping restrictions on travel, mandatory shutdowns for non-essential businesses, requirements regarding social distancing, and other public health safety measures, as well as reported adverse impacts on healthcare resources, facilities and providers across the United States and in other countries. In response to the pandemic, healthcare providers have, and may need to further, reallocate resources, such as physicians, staff, hospital beds, and intensive care unit facilities, as they prioritize limited resources and personnel capacity to focus on the treatment of patients with COVID-19 and implement limitations on access to hospitals and other medical institutions due to concerns about the spread of COVID-19 in such settings. These responses may be extended by the duration of the outbreak, periodic spikes in infection rates due to new strains of the virus including Delta, Omicron or otherwise, local outbreaks of the virus, the broad availability of effective vaccines, new information that will emerge concerning the severity of the coronavirus and the actions to contain the coronavirus or treat its impact. These actions have and may continue to negatively impact commercialization, clinical trials, manufacturing and other business operations, including:</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ind w:left="1260" w:right="20" w:hanging="503"/>
        <w:spacing w:after="0" w:line="238" w:lineRule="auto"/>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Commercial: </w:t>
      </w:r>
      <w:r>
        <w:rPr>
          <w:rFonts w:ascii="Arial" w:cs="Arial" w:eastAsia="Arial" w:hAnsi="Arial"/>
          <w:sz w:val="16"/>
          <w:szCs w:val="16"/>
          <w:color w:val="auto"/>
        </w:rPr>
        <w:t>The response to COVID-19 by healthcare providers has made it difficult for some patients, especially those dependent on a</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 setting, to receive infusions or initiate treatment with our commercial products. In addition, as a result of the pandemic, some patients may choose to delay or stop treatment to avoid a visit to a hospital or a visit of a third party in their homes to minimize the risk of infection. In some cases, at home infusions have been delayed due to outbreaks of COVID-19 among trained personnel and staffing shortages. The impact of COVID-19 may also result in delays in processing reauthorizations and modifications to program benefits by insurers, making it difficult for patients to obtain or maintain favorable coverage decisions for our products. In addition, the increase in unemployment due to the pandemic has resulted in decreased insurance coverage for many individuals. These challenges may continue for the duration of the COVID-19 pandemic, which is uncertain, and are expected to reduce our revenue and cash flows.</w:t>
      </w:r>
    </w:p>
    <w:p>
      <w:pPr>
        <w:spacing w:after="0" w:line="65" w:lineRule="exact"/>
        <w:rPr>
          <w:rFonts w:ascii="Arial" w:cs="Arial" w:eastAsia="Arial" w:hAnsi="Arial"/>
          <w:sz w:val="16"/>
          <w:szCs w:val="16"/>
          <w:color w:val="auto"/>
        </w:rPr>
      </w:pPr>
    </w:p>
    <w:p>
      <w:pPr>
        <w:ind w:left="1260" w:hanging="503"/>
        <w:spacing w:after="0" w:line="253"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Clinical trials: </w:t>
      </w:r>
      <w:r>
        <w:rPr>
          <w:rFonts w:ascii="Arial" w:cs="Arial" w:eastAsia="Arial" w:hAnsi="Arial"/>
          <w:sz w:val="17"/>
          <w:szCs w:val="17"/>
          <w:color w:val="auto"/>
        </w:rPr>
        <w:t>The impact of COVID-19 has caused disruptions and may cause delays in some of our clinical trials. Missing data could</w:t>
      </w:r>
      <w:r>
        <w:rPr>
          <w:rFonts w:ascii="Arial" w:cs="Arial" w:eastAsia="Arial" w:hAnsi="Arial"/>
          <w:sz w:val="17"/>
          <w:szCs w:val="17"/>
          <w:b w:val="1"/>
          <w:bCs w:val="1"/>
          <w:color w:val="auto"/>
        </w:rPr>
        <w:t xml:space="preserve"> </w:t>
      </w:r>
      <w:r>
        <w:rPr>
          <w:rFonts w:ascii="Arial" w:cs="Arial" w:eastAsia="Arial" w:hAnsi="Arial"/>
          <w:sz w:val="17"/>
          <w:szCs w:val="17"/>
          <w:color w:val="auto"/>
        </w:rPr>
        <w:t>undermine data integrity and probability of success. The response to COVID-19 by healthcare providers and regulatory agencies could delay the commencement of trials, site initiation, compliance in the trials, the completion of trials, including the completion of post-marketing requirements and commitments, slow down enrollment, and make the ongoing collection of data for patients enrolled in studies more difficult or intermittent. In addition, as COVID-19 continues to spread, some participants and clinical investigators may be unable or unwilling to comply with clinical trial protocols. For example, quarantines or other travel limitations (whether voluntary or required) were implemented in many countries during the past year, and may impede participant movement, affect sponsor access to study sites, or interrupt healthcare services, which may negatively impact the execution of clinical trials. Significant delays or disruptions to our clinical trials could adversely affect our ability to timely initiate studies, conduct successful studies, obtain or maintain regulatory approvals, or commercialize our product candidates.</w:t>
      </w:r>
    </w:p>
    <w:p>
      <w:pPr>
        <w:spacing w:after="0" w:line="72" w:lineRule="exact"/>
        <w:rPr>
          <w:rFonts w:ascii="Arial" w:cs="Arial" w:eastAsia="Arial" w:hAnsi="Arial"/>
          <w:sz w:val="17"/>
          <w:szCs w:val="17"/>
          <w:color w:val="auto"/>
        </w:rPr>
      </w:pPr>
    </w:p>
    <w:p>
      <w:pPr>
        <w:ind w:left="1260" w:right="120" w:hanging="503"/>
        <w:spacing w:after="0" w:line="296" w:lineRule="auto"/>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Manufacturing: </w:t>
      </w:r>
      <w:r>
        <w:rPr>
          <w:rFonts w:ascii="Arial" w:cs="Arial" w:eastAsia="Arial" w:hAnsi="Arial"/>
          <w:sz w:val="16"/>
          <w:szCs w:val="16"/>
          <w:color w:val="auto"/>
        </w:rPr>
        <w:t>A significant outbreak at one of our partner sites could lead to delays in the manufacturing of our products and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In addition, the need to prioritize rated orders issued by the Federal Emergency Management Agency pursuant to the U.S. Defense Production Act could impact the manufacturing, supply chain and distribution of our products and product candidates.</w:t>
      </w:r>
    </w:p>
    <w:p>
      <w:pPr>
        <w:spacing w:after="0" w:line="34" w:lineRule="exact"/>
        <w:rPr>
          <w:rFonts w:ascii="Arial" w:cs="Arial" w:eastAsia="Arial" w:hAnsi="Arial"/>
          <w:sz w:val="16"/>
          <w:szCs w:val="16"/>
          <w:color w:val="auto"/>
        </w:rPr>
      </w:pPr>
    </w:p>
    <w:p>
      <w:pPr>
        <w:ind w:left="1260" w:hanging="503"/>
        <w:spacing w:after="0" w:line="271" w:lineRule="auto"/>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Operations: </w:t>
      </w:r>
      <w:r>
        <w:rPr>
          <w:rFonts w:ascii="Arial" w:cs="Arial" w:eastAsia="Arial" w:hAnsi="Arial"/>
          <w:sz w:val="16"/>
          <w:szCs w:val="16"/>
          <w:color w:val="auto"/>
        </w:rPr>
        <w:t>On March 13, 2020, to protect the health of our employees and their families, and our communities, and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direction from state and local government authorities, we instituted mandatory work-from-home for all employees and contingent workers other than those who are facility-dependent. With increased availability of vaccines and public health guidelines evolving to reflect their availability, we have begun to re-open our offices to employees who are not facility-dependent and we are working toward the goal of fully re-opening our offices when permitted by applicable local, state and federal public health guidance. We will continue, however, to monitor and make adjustments in response to the public health environment, together with local, state and federal guidance regarding workplace protective measures, including travel restrictions, quarantines, and business shutdowns. If there is an increase in COVID-19 infection rates or new outbreaks, our operations may be adversely impacted. Remote working increase our vulnerability to cyber security breaches. Further, if the spread of the COVID-19 pandemic continues and our operations are adversely impacted, including due to an outbreak in a facility, we risk a delay, default and/or nonperformance under existing agreements.</w:t>
      </w:r>
    </w:p>
    <w:p>
      <w:pPr>
        <w:spacing w:after="0" w:line="194"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impacts our operations and those of our third-party partners will depend on future developments, which are highly uncertain and cannot be predicted with confidence, including the duration of the pandemic, additional or modified government actions, new information which emerges concerning the severity of COVID-19 and the actions taken to contain the virus or treat its impact, among others. In particular, the speed of the continued spread of COVID-19 globally, and the magnitude of interventions to contain the spread of the virus, will determine the impact of the pandemic on our operations.</w:t>
      </w:r>
    </w:p>
    <w:p>
      <w:pPr>
        <w:spacing w:after="0" w:line="297"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to offset future taxable income may be limited as a result of future transactions involving our common stock.</w:t>
      </w:r>
    </w:p>
    <w:p>
      <w:pPr>
        <w:spacing w:after="0" w:line="63" w:lineRule="exact"/>
        <w:rPr>
          <w:sz w:val="20"/>
          <w:szCs w:val="20"/>
          <w:color w:val="auto"/>
        </w:rPr>
      </w:pPr>
    </w:p>
    <w:p>
      <w:pPr>
        <w:ind w:right="160" w:firstLine="749"/>
        <w:spacing w:after="0" w:line="253" w:lineRule="auto"/>
        <w:rPr>
          <w:sz w:val="20"/>
          <w:szCs w:val="20"/>
          <w:color w:val="auto"/>
        </w:rPr>
      </w:pPr>
      <w:r>
        <w:rPr>
          <w:rFonts w:ascii="Arial" w:cs="Arial" w:eastAsia="Arial" w:hAnsi="Arial"/>
          <w:sz w:val="17"/>
          <w:szCs w:val="17"/>
          <w:color w:val="auto"/>
        </w:rPr>
        <w:t>In general, under Section 382 of the Internal Revenue Code, a corporation that undergoes an "ownership change" is subject to limitations on its ability to utilize its pre-change net operating losses and certain other tax assets to offset future taxable income. In general, an ownership change occurs if the aggregate stock ownership of certain stockholders increases by more than 50 percentage points over such stockholders’ lowest percentage ownership during the testing period, which is generally three years. An ownership change could limit our ability to utilize our net operating loss and tax credit carryforwards for taxable years including or following such “ownership change.” Limitations imposed on the ability to use net operating losses and tax credits to offset future taxable income could require us to pay U.S. federal income taxes earlier than we estimated or than would have otherwise been required if such limitations were not in effect and could cause such net operating losses and tax credits to expire unused, in each case reducing or eliminating the benefit of such net operating losses and tax credits and potentially adversely affecting our financial position. Similar rules and limitations may apply for state income tax 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59" w:name="page60"/>
    <w:bookmarkEnd w:id="59"/>
    <w:p>
      <w:pPr>
        <w:ind w:right="240" w:firstLine="749"/>
        <w:spacing w:after="0" w:line="248" w:lineRule="auto"/>
        <w:rPr>
          <w:sz w:val="20"/>
          <w:szCs w:val="20"/>
          <w:color w:val="auto"/>
        </w:rPr>
      </w:pPr>
      <w:r>
        <w:rPr>
          <w:rFonts w:ascii="Arial" w:cs="Arial" w:eastAsia="Arial" w:hAnsi="Arial"/>
          <w:sz w:val="18"/>
          <w:szCs w:val="18"/>
          <w:b w:val="1"/>
          <w:bCs w:val="1"/>
          <w:i w:val="1"/>
          <w:iCs w:val="1"/>
          <w:color w:val="auto"/>
        </w:rPr>
        <w:t>We are winding down our expired U.S. government contracts, and the U.S. government may deny payment of some or all of the currently outstanding amounts owed to us. In addition, further development of our infectious disease programs may be limited by the intellectual property and other rights retained by the U.S. government.</w:t>
      </w:r>
    </w:p>
    <w:p>
      <w:pPr>
        <w:spacing w:after="0" w:line="74"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We have historically relied on U.S. government contracts and awards to fund and support certain infectious disease development programs. These contracts expired and we are currently involved in contract close-out activities. The U.S. government has the right to perform additional audits prior to making final payment of costs and fees. If we are not able to adequately support costs incurred or other government requirements, the government may deny payment of some or all of the currently outstanding amounts owed to us. In addition, the U.S. government may have the right to develop all or some parts of product candidates that we have developed under a U.S. government contract after such contract has terminated or expired.</w:t>
      </w:r>
    </w:p>
    <w:p>
      <w:pPr>
        <w:spacing w:after="0" w:line="267"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b w:val="1"/>
          <w:bCs w:val="1"/>
          <w:i w:val="1"/>
          <w:iCs w:val="1"/>
          <w:color w:val="auto"/>
        </w:rPr>
        <w:t>Our employees, principal investigators, consultants and strategic partners may engage in misconduct or other improper activities, including non-compliance with regulatory standards and requirements and insider trading.</w:t>
      </w:r>
    </w:p>
    <w:p>
      <w:pPr>
        <w:spacing w:after="0" w:line="63" w:lineRule="exact"/>
        <w:rPr>
          <w:sz w:val="20"/>
          <w:szCs w:val="20"/>
          <w:color w:val="auto"/>
        </w:rPr>
      </w:pPr>
    </w:p>
    <w:p>
      <w:pPr>
        <w:ind w:right="20" w:firstLine="749"/>
        <w:spacing w:after="0" w:line="272"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strategic partners. Misconduct by these parties could include intentional failures to comply with the regulations of the FDA and non-U.S. regulators, provide accurate information to the FDA and non-U.S. regulators, comply with healthcare fraud and abuse laws and regulations in the U.S. and abroad, report financial information or data accurately or disclose unauthorized activities to us.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b w:val="1"/>
          <w:bCs w:val="1"/>
          <w:i w:val="1"/>
          <w:iCs w:val="1"/>
          <w:color w:val="auto"/>
        </w:rPr>
        <w:t>Failure to retain our key personnel or an inability to attract and retain additional qualified personnel would cause our future growth and our ability to compete to suffer.</w:t>
      </w:r>
    </w:p>
    <w:p>
      <w:pPr>
        <w:spacing w:after="0" w:line="63" w:lineRule="exact"/>
        <w:rPr>
          <w:sz w:val="20"/>
          <w:szCs w:val="20"/>
          <w:color w:val="auto"/>
        </w:rPr>
      </w:pPr>
    </w:p>
    <w:p>
      <w:pPr>
        <w:ind w:right="380" w:firstLine="749"/>
        <w:spacing w:after="0" w:line="248" w:lineRule="auto"/>
        <w:rPr>
          <w:sz w:val="20"/>
          <w:szCs w:val="20"/>
          <w:color w:val="auto"/>
        </w:rPr>
      </w:pPr>
      <w:r>
        <w:rPr>
          <w:rFonts w:ascii="Arial" w:cs="Arial" w:eastAsia="Arial" w:hAnsi="Arial"/>
          <w:sz w:val="18"/>
          <w:szCs w:val="18"/>
          <w:color w:val="auto"/>
        </w:rPr>
        <w:t>We are highly dependent on the efforts and abilities of the principal members of our senior management. Additionally, we have scientific personnel with significant and unique expertise in RNA-targeted therapeutics and gene therapy technologies. The loss of the services of any one of the principal members of our managerial team or staff may prevent us from achieving our business objectives.</w:t>
      </w:r>
    </w:p>
    <w:p>
      <w:pPr>
        <w:spacing w:after="0" w:line="182"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The competition for qualified personnel in the biotechnology field is intense, and our future success depends upon our ability to attract, retain, motivate and support such personnel. The COVID-19 pandemic has exacerbated workforce competition and workforce shortages. In order to develop and commercialize our products successfully, we will be required to retain key management and scientific employees. In certain instances, we may also need to expand or replace our workforce and our management ranks. In addition, we rely on certain consultants and advisors, including scientific and clinical advisors, to assist us in the formulation and advancement of our research and development programs. Our consultants and advisors may be employed by other entities or have commitments under consulting or advisory contracts with third parties that limit their availability to us, or both. If we are unable to attract, assimilate or retain such key personnel, our ability to advance our programs would be adversely affected.</w:t>
      </w:r>
    </w:p>
    <w:p>
      <w:pPr>
        <w:spacing w:after="0" w:line="180"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Turnover rates of key employees continues to vary substantially during the pandemic. Over the last two years, we have had several executive management changes. Leadership transitions can be inherently difficult to manage and may cause uncertainty or a disruption to our business or may increase the likelihood of turnover in other key officers and employees. If we lose the services of one or more of our senior management or key employees, or if one or more of them decides to join a competitor or otherwise to compete with us, our business could be harmed.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have incurred operating losses since our inception and we may not achieve or sustain profitability.</w:t>
      </w:r>
    </w:p>
    <w:p>
      <w:pPr>
        <w:spacing w:after="0" w:line="104"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We incurred an operating loss of $459.7 million for the year ended December 31, 2021. Our accumulated deficit was $3.2 billion as of December 31, 2021. Although we currently have three commercially approved products in the U.S., we believe that it will take us some time to attain profitability and positive cash flow from operations. Since our products and product candidates target small patient populations, the per-patient drug pricing must be high in order to recover our development and manufacturing costs, fund adequate patient support programs, fund additional research and achieve profitability. We may be unable to maintain or obtain sufficient sales volumes at a price high enough to justify our product development efforts and our sales, marketing and manufacturing expenses.</w:t>
      </w:r>
    </w:p>
    <w:p>
      <w:pPr>
        <w:spacing w:after="0" w:line="189" w:lineRule="exact"/>
        <w:rPr>
          <w:sz w:val="20"/>
          <w:szCs w:val="20"/>
          <w:color w:val="auto"/>
        </w:rPr>
      </w:pPr>
    </w:p>
    <w:p>
      <w:pPr>
        <w:jc w:val="both"/>
        <w:ind w:right="440" w:firstLine="749"/>
        <w:spacing w:after="0" w:line="248" w:lineRule="auto"/>
        <w:rPr>
          <w:sz w:val="20"/>
          <w:szCs w:val="20"/>
          <w:color w:val="auto"/>
        </w:rPr>
      </w:pPr>
      <w:r>
        <w:rPr>
          <w:rFonts w:ascii="Arial" w:cs="Arial" w:eastAsia="Arial" w:hAnsi="Arial"/>
          <w:sz w:val="18"/>
          <w:szCs w:val="18"/>
          <w:color w:val="auto"/>
        </w:rPr>
        <w:t>We have generally incurred expenses related to research and development of our technologies and product candidates and from general and administrative expenses that we have incurred while building our business infrastructure. We anticipate that our expenses will increase substantially if and/or as we:</w:t>
      </w:r>
    </w:p>
    <w:p>
      <w:pPr>
        <w:spacing w:after="0" w:line="74" w:lineRule="exact"/>
        <w:rPr>
          <w:sz w:val="20"/>
          <w:szCs w:val="20"/>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the commercialization of our products in the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 the global footprint of our products outside of the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our sales, marketing and distribution capabilities;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our research, pre-clinical and clinical development of our product candidates;</w:t>
      </w:r>
    </w:p>
    <w:p>
      <w:pPr>
        <w:spacing w:after="0" w:line="103"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respond to and satisfy requests and requirements from regulatory authorities in connection with development and potential approval of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initiate additional clinical trials for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acquire or in-license other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03" w:lineRule="exact"/>
        <w:rPr>
          <w:rFonts w:ascii="Arial" w:cs="Arial" w:eastAsia="Arial" w:hAnsi="Arial"/>
          <w:sz w:val="18"/>
          <w:szCs w:val="18"/>
          <w:color w:val="auto"/>
        </w:rPr>
      </w:pPr>
    </w:p>
    <w:p>
      <w:pPr>
        <w:ind w:left="1260" w:right="38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manufacturing capabilities, including capital expenditures related to our real estate facilities and entering into manufacturing agreements;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03" w:lineRule="exact"/>
        <w:rPr>
          <w:rFonts w:ascii="Arial" w:cs="Arial" w:eastAsia="Arial" w:hAnsi="Arial"/>
          <w:sz w:val="18"/>
          <w:szCs w:val="18"/>
          <w:color w:val="auto"/>
        </w:rPr>
      </w:pPr>
    </w:p>
    <w:p>
      <w:pPr>
        <w:ind w:left="1260" w:right="18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w:t>
      </w:r>
    </w:p>
    <w:p>
      <w:pPr>
        <w:spacing w:after="0" w:line="171" w:lineRule="exact"/>
        <w:rPr>
          <w:sz w:val="20"/>
          <w:szCs w:val="20"/>
          <w:color w:val="auto"/>
        </w:rPr>
      </w:pPr>
    </w:p>
    <w:p>
      <w:pPr>
        <w:ind w:right="180" w:firstLine="749"/>
        <w:spacing w:after="0" w:line="324" w:lineRule="auto"/>
        <w:rPr>
          <w:sz w:val="20"/>
          <w:szCs w:val="20"/>
          <w:color w:val="auto"/>
        </w:rPr>
      </w:pPr>
      <w:r>
        <w:rPr>
          <w:rFonts w:ascii="Arial" w:cs="Arial" w:eastAsia="Arial" w:hAnsi="Arial"/>
          <w:sz w:val="16"/>
          <w:szCs w:val="16"/>
          <w:color w:val="auto"/>
        </w:rPr>
        <w:t>As a result, we expect to continue to incur significant operating losses at least through 2021. Because of the numerous risks and uncertainties associated with developing biopharmaceutical products, we are unable to predict the extent of any future losses or when, or if, we will become profitable.</w:t>
      </w:r>
    </w:p>
    <w:p>
      <w:pPr>
        <w:spacing w:after="0" w:line="232"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3"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We will likely require additional capital from time to time in the future in order to meet FDA post-marketing approval requirements and market and sell our products as well as to continue the development of product candidates in our pipeline, to prepare for potential commercialization of additional product candidates in our pipeline, to expand our product portfolio and to continue or enhance our business development efforts. The actual amount of funds that we may need and the sufficiency of the capital we have or are able to raise will be determined by many factors, some of which are in our control and others that are beyond our control.</w:t>
      </w:r>
    </w:p>
    <w:p>
      <w:pPr>
        <w:spacing w:after="0" w:line="189" w:lineRule="exact"/>
        <w:rPr>
          <w:sz w:val="20"/>
          <w:szCs w:val="20"/>
          <w:color w:val="auto"/>
        </w:rPr>
      </w:pPr>
    </w:p>
    <w:p>
      <w:pPr>
        <w:ind w:right="300" w:firstLine="749"/>
        <w:spacing w:after="0" w:line="255" w:lineRule="auto"/>
        <w:rPr>
          <w:sz w:val="20"/>
          <w:szCs w:val="20"/>
          <w:color w:val="auto"/>
        </w:rPr>
      </w:pPr>
      <w:r>
        <w:rPr>
          <w:rFonts w:ascii="Arial" w:cs="Arial" w:eastAsia="Arial" w:hAnsi="Arial"/>
          <w:sz w:val="17"/>
          <w:szCs w:val="17"/>
          <w:color w:val="auto"/>
        </w:rPr>
        <w:t>While we are currently well capitalized, we may use available capital resources sooner than we expect under our current operating plan. In addition, our operating plan may change. We may need or choose to seek additional funds sooner than planned, through equity or debt financings, government or other third-party funding, marketing and distribution arrangements and other collaborations, strategic alliances, funded research and development arrangements and licensing arrangements or a combination of these approaches. In any event, we expect to require additional capital to expand future development efforts,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in light of specific strategic considerations.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1" w:name="page62"/>
    <w:bookmarkEnd w:id="61"/>
    <w:p>
      <w:pPr>
        <w:ind w:right="20" w:firstLine="749"/>
        <w:spacing w:after="0" w:line="25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In the event we receive negative data from our key clinical programs or encounter other major setbacks in our development, manufacturing or regulatory activities or in our commercialization efforts, our stock price is likely to decline, which would make a future financing more difficult. Moreover, the terms of any financing may adversely affect the holdings or the rights of our stockholders. The issuance of additional securities, whether equity or debt, by us, or the possibility of such issuance, may cause the market price of our shares to decline. The sale of additional equity or convertible securities may dilute all of our stockholders. The incurrence of indebtedness may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3"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if approved, or be unable to expand our operations or otherwise capitalize on our business opportunities, as desired, which could materially affect our business, financial condition and results of operations.</w:t>
      </w:r>
    </w:p>
    <w:p>
      <w:pPr>
        <w:spacing w:after="0" w:line="27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rights.</w:t>
      </w:r>
    </w:p>
    <w:p>
      <w:pPr>
        <w:spacing w:after="0" w:line="127"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the ownership interest of our stockholders in our company may be diluted. In addition, the terms of any such securities may include liquidation or other preferences that materially adversely affect the rights of our stockholders. Debt financing, if available, may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02"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b w:val="1"/>
          <w:bCs w:val="1"/>
          <w:i w:val="1"/>
          <w:iCs w:val="1"/>
          <w:color w:val="auto"/>
        </w:rPr>
        <w:t>The estimates and judgments we make, or the assumptions on which we rely, in preparing our consolidated financial statements could prove inaccurate.</w:t>
      </w:r>
    </w:p>
    <w:p>
      <w:pPr>
        <w:spacing w:after="0" w:line="63"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U.S.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Such estimates and judgments include revenue recognition, inventory, valuation of stock-based awards, research and development expenses and income tax. We base our estimates on historical experience, facts and 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stock price is volatile and may fluctuate due to factors beyond our control.</w:t>
      </w:r>
    </w:p>
    <w:p>
      <w:pPr>
        <w:spacing w:after="0" w:line="104"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The market prices for and trading volumes of securities of biotechnology companies, including our securities, has historically been volatile. Our stock has had significant swings in trading prices, in particular in connection with our public communications regarding feedback received from regulatory authorities. For example, over the last twelve months, as of the date of this report, our stock has increased as much as 16% in a single day or decreased as much as 13% in a single day. The market has from time to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280"/>
        <w:spacing w:after="0" w:line="261" w:lineRule="auto"/>
        <w:rPr>
          <w:sz w:val="20"/>
          <w:szCs w:val="20"/>
          <w:color w:val="auto"/>
        </w:rPr>
      </w:pPr>
      <w:r>
        <w:rPr>
          <w:rFonts w:ascii="Arial" w:cs="Arial" w:eastAsia="Arial" w:hAnsi="Arial"/>
          <w:sz w:val="18"/>
          <w:szCs w:val="18"/>
          <w:color w:val="auto"/>
        </w:rPr>
        <w:t>experienced significant price and volume fluctuations unrelated to the operating performance of particular companies. The market price of our common stock may fluctuate significantly due to a variety of factors, including but not limited to:</w:t>
      </w:r>
    </w:p>
    <w:p>
      <w:pPr>
        <w:spacing w:after="0" w:line="63" w:lineRule="exact"/>
        <w:rPr>
          <w:sz w:val="20"/>
          <w:szCs w:val="20"/>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commercial performance of our products in the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our submissions to regulatory authorities and regulatory decisions and developments;</w:t>
      </w:r>
    </w:p>
    <w:p>
      <w:pPr>
        <w:spacing w:after="0" w:line="103" w:lineRule="exact"/>
        <w:rPr>
          <w:rFonts w:ascii="Arial" w:cs="Arial" w:eastAsia="Arial" w:hAnsi="Arial"/>
          <w:sz w:val="18"/>
          <w:szCs w:val="18"/>
          <w:color w:val="auto"/>
        </w:rPr>
      </w:pPr>
    </w:p>
    <w:p>
      <w:pPr>
        <w:ind w:left="1260" w:right="20" w:hanging="503"/>
        <w:spacing w:after="0" w:line="248"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positive or negative clinical trial results or regulatory interpretations of data collected in clinical trials conducted by us, our strategic partners, our competitors or other companies with investigational drugs targeting the same, similar or related diseases to those targeted by us;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beginning and completing pre-clinical and clinical trials for potential product candidates;</w:t>
      </w:r>
    </w:p>
    <w:p>
      <w:pPr>
        <w:spacing w:after="0" w:line="103" w:lineRule="exact"/>
        <w:rPr>
          <w:rFonts w:ascii="Arial" w:cs="Arial" w:eastAsia="Arial" w:hAnsi="Arial"/>
          <w:sz w:val="18"/>
          <w:szCs w:val="18"/>
          <w:color w:val="auto"/>
        </w:rPr>
      </w:pPr>
    </w:p>
    <w:p>
      <w:pPr>
        <w:ind w:left="1260" w:right="100" w:hanging="503"/>
        <w:spacing w:after="0" w:line="261"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entering or failing to enter into strategic relationships with respect to development and/or commercialization of our products or product candidates or entry into strategic relationships on terms that are not deemed to be favorable to us;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technological innovations, product development or additional commercial product introductions by ourselves or competitors;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applicable government regulations or regulatory requirements in the approval process;</w:t>
      </w:r>
    </w:p>
    <w:p>
      <w:pPr>
        <w:spacing w:after="0" w:line="103" w:lineRule="exact"/>
        <w:rPr>
          <w:rFonts w:ascii="Arial" w:cs="Arial" w:eastAsia="Arial" w:hAnsi="Arial"/>
          <w:sz w:val="18"/>
          <w:szCs w:val="18"/>
          <w:color w:val="auto"/>
        </w:rPr>
      </w:pPr>
    </w:p>
    <w:p>
      <w:pPr>
        <w:ind w:left="1260" w:right="320" w:hanging="503"/>
        <w:spacing w:after="0" w:line="248"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patent litigation matters, such as developments in the interferences declared by the USPTO, including in the near term any outcomes of ongoing interference proceedings and over the longer term the outcomes from any related appeals;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 concern relating to the commercial value, efficacy or safety of any of our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obtain funds, through the issuance of equity or equity linked securities or incurrence of debt, or other corporate transactions;</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in litigation against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senior management; or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market conditions in our industry or in the economy as a whole.</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Broad market and industry factors may seriously affect the market price of a company’s stock, including ours, regardless of actual operating performance. For example, the trading prices of biopharmaceutical companies have been highly volatile as a result of the COVID-19 pandemic, which continues to rapidly evolve. In addition, in the past, following periods of volatility in the overall market and the market price of a particular company’s securities, securities class action litigation has often been instituted against these companies. Such litigation could result in substantial costs and a diversion of our management’s attention and resources.</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revenues and operating results could fluctuate significantly, which may adversely affect our stock price.</w:t>
      </w:r>
    </w:p>
    <w:p>
      <w:pPr>
        <w:spacing w:after="0" w:line="104"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Our revenues and operating results may vary significantly from year-to-year and quarter-to-quarter as well as in comparison to the corresponding quarter of the preceding year. Variations my result from one or more factors, including, without limitation:</w:t>
      </w:r>
    </w:p>
    <w:p>
      <w:pPr>
        <w:spacing w:after="0" w:line="63" w:lineRule="exact"/>
        <w:rPr>
          <w:sz w:val="20"/>
          <w:szCs w:val="20"/>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timing of purchase orders;</w:t>
      </w:r>
    </w:p>
    <w:p>
      <w:pPr>
        <w:spacing w:after="0" w:line="103" w:lineRule="exact"/>
        <w:rPr>
          <w:rFonts w:ascii="Arial" w:cs="Arial" w:eastAsia="Arial" w:hAnsi="Arial"/>
          <w:sz w:val="18"/>
          <w:szCs w:val="18"/>
          <w:color w:val="auto"/>
        </w:rPr>
      </w:pPr>
    </w:p>
    <w:p>
      <w:pPr>
        <w:ind w:left="1260" w:right="8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coverage and reimbursement policies of health plans and other health insurers, especially in relation to those products that are currently manufactured, under development or identified for future development by us;</w:t>
      </w:r>
    </w:p>
    <w:p>
      <w:pPr>
        <w:spacing w:after="0" w:line="62" w:lineRule="exact"/>
        <w:rPr>
          <w:rFonts w:ascii="Arial" w:cs="Arial" w:eastAsia="Arial" w:hAnsi="Arial"/>
          <w:sz w:val="18"/>
          <w:szCs w:val="18"/>
          <w:color w:val="auto"/>
        </w:rPr>
      </w:pPr>
    </w:p>
    <w:p>
      <w:pPr>
        <w:ind w:left="1260" w:right="46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re-authorizations processes that may be required for patients who initially obtained coverage by third parties, including government payors, managed care organizations and private health insurers;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transition from temporary billing codes established by the CMS to permanent medical codes;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timing of approval of applications filed with the FDA;</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timing of product launches and market acceptance of products launched;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amounts spent to research, develop, acquire, license or promote new and existing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 programs;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serious or unexpected health or safety concerns with our product or product candidates and any resulting clinical holds;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3" w:name="page64"/>
    <w:bookmarkEnd w:id="63"/>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introduction of new products by others that render one or more of our products obsolete or noncompetitive;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to maintain selling prices and gross margins on our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in the cost of raw materials contained within our products and product candidates;</w:t>
      </w:r>
    </w:p>
    <w:p>
      <w:pPr>
        <w:spacing w:after="0" w:line="103" w:lineRule="exact"/>
        <w:rPr>
          <w:rFonts w:ascii="Arial" w:cs="Arial" w:eastAsia="Arial" w:hAnsi="Arial"/>
          <w:sz w:val="18"/>
          <w:szCs w:val="18"/>
          <w:color w:val="auto"/>
        </w:rPr>
      </w:pPr>
    </w:p>
    <w:p>
      <w:pPr>
        <w:ind w:left="1260" w:right="1060" w:hanging="503"/>
        <w:spacing w:after="0" w:line="261"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manufacturing and supply interruptions, including product rejections or recalls due to failure to comply with manufacturing specifications;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timing of revenue recognition relating to our distribution agreements;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to protect our intellectual property from being acquired by other entities;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to avoid infringing the intellectual property of others;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continued impact of the ongoing COVID-19 pandemic;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addition or loss of customers.</w:t>
      </w:r>
    </w:p>
    <w:p>
      <w:pPr>
        <w:spacing w:after="0" w:line="212"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In addition, in one or more future periods, our results of operations may fall below the expectations of securities analysts and investors. In that event, the market price of our common stock could decline.</w:t>
      </w:r>
    </w:p>
    <w:p>
      <w:pPr>
        <w:spacing w:after="0" w:line="279" w:lineRule="exact"/>
        <w:rPr>
          <w:sz w:val="20"/>
          <w:szCs w:val="20"/>
          <w:color w:val="auto"/>
        </w:rPr>
      </w:pPr>
    </w:p>
    <w:p>
      <w:pPr>
        <w:ind w:right="720" w:firstLine="749"/>
        <w:spacing w:after="0" w:line="324" w:lineRule="auto"/>
        <w:rPr>
          <w:sz w:val="20"/>
          <w:szCs w:val="20"/>
          <w:color w:val="auto"/>
        </w:rPr>
      </w:pPr>
      <w:r>
        <w:rPr>
          <w:rFonts w:ascii="Arial" w:cs="Arial" w:eastAsia="Arial" w:hAnsi="Arial"/>
          <w:sz w:val="16"/>
          <w:szCs w:val="16"/>
          <w:b w:val="1"/>
          <w:bCs w:val="1"/>
          <w:i w:val="1"/>
          <w:iCs w:val="1"/>
          <w:color w:val="auto"/>
        </w:rPr>
        <w:t>Provisions of our certificate of incorporation, bylaws and Delaware law might deter acquisition bids for us that might be considered favorable and prevent or frustrate any attempt to replace or remove the then-current management and board of directors.</w:t>
      </w:r>
    </w:p>
    <w:p>
      <w:pPr>
        <w:spacing w:after="0" w:line="16"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Certain provisions of our certificate of incorporation and bylaws may make it more difficult for a third party to acquire control of us or effect a change in our board of directors and management. These provisions include:</w:t>
      </w:r>
    </w:p>
    <w:p>
      <w:pPr>
        <w:spacing w:after="0" w:line="63" w:lineRule="exact"/>
        <w:rPr>
          <w:sz w:val="20"/>
          <w:szCs w:val="20"/>
          <w:color w:val="auto"/>
        </w:rPr>
      </w:pPr>
    </w:p>
    <w:p>
      <w:pPr>
        <w:ind w:left="1260" w:right="8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when the board is comprised of six or more directors, classification of our board of directors into two classes, with one class elected each year;</w:t>
      </w:r>
    </w:p>
    <w:p>
      <w:pPr>
        <w:spacing w:after="0" w:line="62"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directors may only be removed for cause by the affirmative vote of a majority of the voting power of all the then-outstanding shares of voting stock;</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prohibition of cumulative voting of shares in the election of directors;</w:t>
      </w:r>
    </w:p>
    <w:p>
      <w:pPr>
        <w:spacing w:after="0" w:line="103" w:lineRule="exact"/>
        <w:rPr>
          <w:rFonts w:ascii="Arial" w:cs="Arial" w:eastAsia="Arial" w:hAnsi="Arial"/>
          <w:sz w:val="18"/>
          <w:szCs w:val="18"/>
          <w:color w:val="auto"/>
        </w:rPr>
      </w:pPr>
    </w:p>
    <w:p>
      <w:pPr>
        <w:ind w:left="1260" w:right="42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right of the board of directors to elect directors to fill a vacancy created by the expansion of the board of directors or the resignation, death, disqualification or removal of a director;</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express authorization of the board of directors to make, alter or repeal our bylaws;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prohibition on stockholder action by written consent;</w:t>
      </w:r>
    </w:p>
    <w:p>
      <w:pPr>
        <w:spacing w:after="0" w:line="103" w:lineRule="exact"/>
        <w:rPr>
          <w:rFonts w:ascii="Arial" w:cs="Arial" w:eastAsia="Arial" w:hAnsi="Arial"/>
          <w:sz w:val="18"/>
          <w:szCs w:val="18"/>
          <w:color w:val="auto"/>
        </w:rPr>
      </w:pPr>
    </w:p>
    <w:p>
      <w:pPr>
        <w:ind w:left="1260" w:right="12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or for proposing matters that can be acted upon by stockholders at stockholder meetings;</w:t>
      </w:r>
    </w:p>
    <w:p>
      <w:pPr>
        <w:spacing w:after="0" w:line="62" w:lineRule="exact"/>
        <w:rPr>
          <w:rFonts w:ascii="Arial" w:cs="Arial" w:eastAsia="Arial" w:hAnsi="Arial"/>
          <w:sz w:val="18"/>
          <w:szCs w:val="18"/>
          <w:color w:val="auto"/>
        </w:rPr>
      </w:pPr>
    </w:p>
    <w:p>
      <w:pPr>
        <w:jc w:val="both"/>
        <w:ind w:left="1260" w:right="460" w:hanging="503"/>
        <w:spacing w:after="0" w:line="248"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undesignated preferred stock, the terms and rights of which may be established and shares of which may be issued without stockholder approval, including rights superior to the rights of the holders of common stock; and</w:t>
      </w:r>
    </w:p>
    <w:p>
      <w:pPr>
        <w:spacing w:after="0" w:line="73"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super-majority (66 2/3%) of the voting power of all of the then-outstanding shares of capital stock are required to amend, rescind, alter or repeal our bylaws and certain provisions of our certificate of incorporation.</w:t>
      </w:r>
    </w:p>
    <w:p>
      <w:pPr>
        <w:spacing w:after="0" w:line="17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and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ind w:right="300" w:firstLine="749"/>
        <w:spacing w:after="0" w:line="262" w:lineRule="auto"/>
        <w:rPr>
          <w:sz w:val="20"/>
          <w:szCs w:val="20"/>
          <w:color w:val="auto"/>
        </w:rPr>
      </w:pPr>
      <w:r>
        <w:rPr>
          <w:rFonts w:ascii="Arial" w:cs="Arial" w:eastAsia="Arial" w:hAnsi="Arial"/>
          <w:sz w:val="17"/>
          <w:szCs w:val="17"/>
          <w:b w:val="1"/>
          <w:bCs w:val="1"/>
          <w:i w:val="1"/>
          <w:iCs w:val="1"/>
          <w:color w:val="auto"/>
        </w:rPr>
        <w:t>A significant number of shares of our common stock are issuable pursuant to outstanding stock awards, and we expect to issue additional stock awards and shares of common stock to attract and retain employees, directors and consultants. We may also issue shares of common stock to finance our operations and in connection with our strategic goals. Exercise of these awards and sales of shares will dilute the interests of existing security holders and may depress the price of our common stock.</w:t>
      </w:r>
    </w:p>
    <w:p>
      <w:pPr>
        <w:spacing w:after="0" w:line="64"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Currently, our Amended and Restated Certificate of Incorporation authorizes the issuance of up to 198.0 million shares of common stock. As of December 31, 2021, there were approximately 87.1 million shares of common stock outstanding and outstanding awards to purchase 8.2 million shares of common stock under various incentive stock plans. Additionally, as of December 31, 2021, there were approximately 4.2 million shares of common stock available for future issuance under our 2018 Equity Incentive Plan, approximately 0.4 million shares of common stock available for issuance under our Amended and Restated 2013 Employee Stock Purchase Plan, and approximately 1.5 million shares of common stock available for issuance under our 2014 Employment Commencement Incentive Plan.</w:t>
      </w:r>
    </w:p>
    <w:p>
      <w:pPr>
        <w:spacing w:after="0" w:line="189"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We may issue additional shares to grant equity awards to our employees, officers, directors and consultants under our 2018 Equity Incentive Plan, our 2013 Employee Stock Purchase Plan or our 2014 Employment Commencement Incentive Plan. We may also issue additional common stock and warrants from time to time to finance our operations and in connection with strategic transactions, such as acquisitions and licensing. For example, in February 2020, we issued and sold 2,522,227 shares of common stock to Roche Finance in connection with the entry into the collaboration agreement with Roche.</w:t>
      </w:r>
    </w:p>
    <w:p>
      <w:pPr>
        <w:spacing w:after="0" w:line="189"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The issuance of additional shares of common stock or warrants to purchase common stock and the perception that such issuances may occur or exercise of outstanding warrants or stock options may have a dilutive impact on other stockholders and could have a material negative effect on the market price of our common stock.</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04"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Sales of a substantial number of our common stock in the public market, including sales by members of our management or board of directors, or the perception that these sales might occur, could depress the market price of our common stock and could impair our ability to raise capital through the sale of additional equity or equity-related securities.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Credit Agreement and Convertible Senior Notes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indebtedness resulting from our credit agreement could adversely affect our financial condition or restrict our future operations.</w:t>
      </w:r>
    </w:p>
    <w:p>
      <w:pPr>
        <w:spacing w:after="0" w:line="127"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On December 13, 2019, we entered into a loan agreement (the “Credit Agreement”) with BioPharma Credit PLC, as the collateral agent and a lender (“BioPharma”), and BioPharma Credit Investments V (Master) LP, as a lender (together with BioPharma in its capacity as a lender, and each of their respective successors and assigns at any time party to the Credit Agreement, the “Lenders” and each a “Lender”) that provides for a senior secured term loan facility (the “Loan Facility”) of up to $500.0 million to be funded in two tranches: (i) a Tranche A Loan in an aggregate principal amount of $250.0 million (the “Tranche A Loan”), which was funded on December 20, 2019; and (ii) a Tranche B Loan in an aggregate principal amount of up to $250.0 million (the “Tranche B Loan”, and together with the Tranche A Loan, the “Term Loans”). We drew the $250.0 million Tranche A Loan in full on December 20, 2019.</w:t>
      </w:r>
    </w:p>
    <w:p>
      <w:pPr>
        <w:spacing w:after="0" w:line="191"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On September 24, 2020, we entered into a first amendment to loan agreement (the “Amendment”) which amends the Credit Agreement. The Amendment increases the aggregate principal amount of the Tranche B Loan under the Loan Facility from $250.0 million to $300.0 million. On November 2, 2020, we drew the $300.0 million Tranche B Loan. In addition, the Amendment extends the maturity date for the Tranche B Loan to December 31, 2024 and increases the funding fee payable to each Lender providing a portion of the Tranche B Loan on the date the Tranche B Loan is funded by 120 basis points to 2.95%.</w:t>
      </w:r>
    </w:p>
    <w:p>
      <w:pPr>
        <w:spacing w:after="0" w:line="189" w:lineRule="exact"/>
        <w:rPr>
          <w:sz w:val="20"/>
          <w:szCs w:val="20"/>
          <w:color w:val="auto"/>
        </w:rPr>
      </w:pPr>
    </w:p>
    <w:p>
      <w:pPr>
        <w:ind w:right="100" w:firstLine="749"/>
        <w:spacing w:after="0" w:line="254" w:lineRule="auto"/>
        <w:rPr>
          <w:sz w:val="20"/>
          <w:szCs w:val="20"/>
          <w:color w:val="auto"/>
        </w:rPr>
      </w:pPr>
      <w:r>
        <w:rPr>
          <w:rFonts w:ascii="Arial" w:cs="Arial" w:eastAsia="Arial" w:hAnsi="Arial"/>
          <w:sz w:val="17"/>
          <w:szCs w:val="17"/>
          <w:color w:val="auto"/>
        </w:rPr>
        <w:t>All obligations under the Credit Agreement are secured pursuant to the terms of a security agreement and subject to certain exceptions, by security interests in certain collateral (collectively, the “Collateral”), which includes the following: (1) any and all U.S. intellectual property owned by, and rights to U.S. intellectual property licensed to, us relating to any pharmaceutical composition in which eteplirsen or golodirsen is indicated to be administered for use in the treatment of Duchenne in patients who have a confirmed mutation of the dystrophin gene that is amenable to exon 51 or 53 skipping, respectively, or for any other use approved by the FDA (the “Loan Products”), (2) 100% of the equity interests directly held by us in certain wholly owned domestic subsidiaries and 65% of the equity interests in certain other wholly owned domestic subsidiaries, and (3) all of our personal property, including, without limitation, cash held in all our deposit accounts. Any non-U.S. intellectual property related to the Loan Products and intellectual property unrelated in any way to the Loan Products anywhere are not part of the Collateral.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5" w:name="page66"/>
    <w:bookmarkEnd w:id="65"/>
    <w:p>
      <w:pPr>
        <w:ind w:left="760"/>
        <w:spacing w:after="0"/>
        <w:rPr>
          <w:sz w:val="20"/>
          <w:szCs w:val="20"/>
          <w:color w:val="auto"/>
        </w:rPr>
      </w:pPr>
      <w:r>
        <w:rPr>
          <w:rFonts w:ascii="Arial" w:cs="Arial" w:eastAsia="Arial" w:hAnsi="Arial"/>
          <w:sz w:val="17"/>
          <w:szCs w:val="17"/>
          <w:color w:val="auto"/>
        </w:rPr>
        <w:t>The Credit Agreement contains negative covenants that, among other things and subject to certain exceptions, restrict our ability to:</w:t>
      </w:r>
    </w:p>
    <w:p>
      <w:pPr>
        <w:spacing w:after="0" w:line="115" w:lineRule="exact"/>
        <w:rPr>
          <w:sz w:val="20"/>
          <w:szCs w:val="20"/>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 or dispose of assets, including certain intellectual property;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 modify or waive certain material agreements or organizational documents;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 or merge;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additional liens on the Collateral;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 dividends or make any distribution or payment on or redeem, retire or purchase any equity interests;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payments of certain subordinated indebtedness.</w:t>
      </w:r>
    </w:p>
    <w:p>
      <w:pPr>
        <w:spacing w:after="0" w:line="212"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The Credit Agreement requires us to have consolidated liquidity of at least $100.0 million as of the last day of each month. Additionally, the Credit Agreement contains certain representations and warranties, affirmative covenants and provisions relating to events of default, which include, but are not limited to, the following: (i) nonpayment of principal, interest and other amounts; (ii) failure to comply with covenants; (iii) the occurrence of a material adverse change in (A) our ability to fulfill the payment or performance obligations under the Credit Agreement and related documents or (B) the binding nature of the Credit Agreement and related documents; (iv) the rendering of judgments or orders or the acceleration or payment default by us in respect of other indebtedness in excess of $10.0 million; and (v) certain insolvency and ERISA events. A change of control triggers a mandatory prepayment of the Term Loans, and we may not have sufficient funds or the ability to raise the funds necessary to prepay them.</w:t>
      </w:r>
    </w:p>
    <w:p>
      <w:pPr>
        <w:spacing w:after="0" w:line="315" w:lineRule="exact"/>
        <w:rPr>
          <w:sz w:val="20"/>
          <w:szCs w:val="20"/>
          <w:color w:val="auto"/>
        </w:rPr>
      </w:pPr>
    </w:p>
    <w:p>
      <w:pPr>
        <w:ind w:right="580" w:firstLine="749"/>
        <w:spacing w:after="0" w:line="261" w:lineRule="auto"/>
        <w:rPr>
          <w:sz w:val="20"/>
          <w:szCs w:val="20"/>
          <w:color w:val="auto"/>
        </w:rPr>
      </w:pPr>
      <w:r>
        <w:rPr>
          <w:rFonts w:ascii="Arial" w:cs="Arial" w:eastAsia="Arial" w:hAnsi="Arial"/>
          <w:sz w:val="18"/>
          <w:szCs w:val="18"/>
          <w:b w:val="1"/>
          <w:bCs w:val="1"/>
          <w:i w:val="1"/>
          <w:iCs w:val="1"/>
          <w:color w:val="auto"/>
        </w:rPr>
        <w:t>Servicing our Credit Agreement and 1.50% notes due 2024 (the “Notes”) requires a significant amount of cash, and we may not have sufficient cash flow to pay our debt.</w:t>
      </w:r>
    </w:p>
    <w:p>
      <w:pPr>
        <w:spacing w:after="0" w:line="63"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In 2017, we issued $570.0 million aggregate principal amount of Notes, pursuant to that certain indenture, dated as of November 14, 2019, between us, as issuer, and U.S. Bank National Association, as trustee. Our ability to make scheduled payments of the principal of, to pay interest on, or to refinance our indebtedness, including the Credit Agreement and the Notes, depends on our future performance, which is subject to many factors, including, economic, financial, competitive and other, beyond our control. We do not expect our business to be able to generate cash flow from operations in the foreseeable future,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term loan under the Credit Agreement, which matures in 2023, and the Notes, which are non-callable and mature in 2024, will depend on the capital markets and our financial condition at such time. We may not be able to engage in any of these activities or engage in these activities on desirable terms, which could result in a default on our debt obligations, and limit our flexibility in planning for and reacting to changes in our business.</w:t>
      </w:r>
    </w:p>
    <w:p>
      <w:pPr>
        <w:spacing w:after="0" w:line="277"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Notes as required upon a fundamental change, and our future debt may contain limitations on our ability to repurchase the Notes.</w:t>
      </w:r>
    </w:p>
    <w:p>
      <w:pPr>
        <w:spacing w:after="0" w:line="63"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Holders of the Notes will have the right to require us to repurchase their Notes for cash upon the occurrence of a fundamental change at a fundamental change repurchase price equal to 100% of the principal amount of the Notes to be repurchased, plus accrued and unpaid interest, if any. A fundamental change may also constitute an event of default or prepayment under, and result in the acceleration of the maturity of, our then-existing indebtedness. We cannot assure you that we will have sufficient financial resources, or will be able to arrange financing, to pay the fundamental change repurchase price in cash with respect to any Notes surrendered by holders for repurchase upon a fundamental change. In addition, restrictions under our then existing credit facilities or other indebtedness, if any, may not allow us to repurchase the Notes upon a fundamental change. Our failure to repurchase the Notes upon a fundamental change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Notes.</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Capped call transactions entered into in connection with the Notes may impact the value of our common stock.</w:t>
      </w:r>
    </w:p>
    <w:p>
      <w:pPr>
        <w:spacing w:after="0" w:line="104" w:lineRule="exact"/>
        <w:rPr>
          <w:sz w:val="20"/>
          <w:szCs w:val="20"/>
          <w:color w:val="auto"/>
        </w:rPr>
      </w:pPr>
    </w:p>
    <w:p>
      <w:pPr>
        <w:ind w:right="180" w:firstLine="749"/>
        <w:spacing w:after="0" w:line="324" w:lineRule="auto"/>
        <w:rPr>
          <w:sz w:val="20"/>
          <w:szCs w:val="20"/>
          <w:color w:val="auto"/>
        </w:rPr>
      </w:pPr>
      <w:r>
        <w:rPr>
          <w:rFonts w:ascii="Arial" w:cs="Arial" w:eastAsia="Arial" w:hAnsi="Arial"/>
          <w:sz w:val="16"/>
          <w:szCs w:val="16"/>
          <w:color w:val="auto"/>
        </w:rPr>
        <w:t>In connection with the Notes, we entered into capped call transactions (the “Capped Call Transactions”) with certain financial institutions. The Capped Call Transactions are expected to generally reduce the potential dilution upon conversion of the Notes into shares of our common stock.</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6" w:name="page67"/>
    <w:bookmarkEnd w:id="66"/>
    <w:p>
      <w:pPr>
        <w:ind w:right="80" w:firstLine="749"/>
        <w:spacing w:after="0" w:line="241" w:lineRule="auto"/>
        <w:rPr>
          <w:sz w:val="20"/>
          <w:szCs w:val="20"/>
          <w:color w:val="auto"/>
        </w:rPr>
      </w:pPr>
      <w:r>
        <w:rPr>
          <w:rFonts w:ascii="Arial" w:cs="Arial" w:eastAsia="Arial" w:hAnsi="Arial"/>
          <w:sz w:val="18"/>
          <w:szCs w:val="18"/>
          <w:color w:val="auto"/>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may have an impact on the value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product liability claims and our insurance may not be adequate to cover damages.</w:t>
      </w:r>
    </w:p>
    <w:p>
      <w:pPr>
        <w:spacing w:after="0" w:line="104"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The current and future use of our product candidates by us and our collaborators in clinical trials, expanded access programs, the sale of our products, or the use of our products under emergency use vehicles may expose us to liability claims inherent to the manufacture, clinical testing, marketing and sale of medical products. These claims might be made directly by consumers or healthcare providers or indirectly by pharmaceutical companies, our collaborators or others selling such products. Regardless of merit or eventual outcome, we may experience financial losses in the future due to such product liability claims. We have obtained commercial general liability insurance coverage for our clinical trials and the sale of commercial products. However, we may not be able to maintain insurance coverage at a reasonable cost or in sufficient amounts to protect us against all losses.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Violation of the General Data Protection Regulation could subject us to significant fines.</w:t>
      </w:r>
    </w:p>
    <w:p>
      <w:pPr>
        <w:spacing w:after="0" w:line="104"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The GDPR increases our obligations with respect to clinical trials conducted in the member states of the EEA by expanding the definition of personal data to include coded data and requiring changes to informed consent practices and more detailed notices for clinical trial subjects and investigators. In addition, the GDPR increases the scrutiny that clinical trial sites located in the EEA should apply to transfers of personal data from such sites to countries that are considered to lack an adequate level of data protection, such as the U.S. The GDPR imposes substantial fines for breaches of data protection requirements, which can be up to four percent of global revenue or 20 million Euros, whichever is greater, and it also confers a private right of action on data subjects for breaches of data protection requirements. Compliance with these directives will be a rigorous and time-intensive process that may increase our cost of doing business, and despite those efforts, there is a risk that we may be subject to fines and penalties, litigation and reputational harm in connection with our European activities.</w:t>
      </w:r>
    </w:p>
    <w:p>
      <w:pPr>
        <w:spacing w:after="0" w:line="316"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b w:val="1"/>
          <w:bCs w:val="1"/>
          <w:i w:val="1"/>
          <w:iCs w:val="1"/>
          <w:color w:val="auto"/>
        </w:rPr>
        <w:t>We have expanded, and may continue to expand, our organization and may experience difficulties in managing this growth, which could disrupt our operations.</w:t>
      </w:r>
    </w:p>
    <w:p>
      <w:pPr>
        <w:spacing w:after="0" w:line="63"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To support the expansion of our business activities, we have expanded, and may continue to expand, our full-time employee base, as well as our consultant and contractor base. Our management may need to divert a disproportionate amount of its attention away from our day-to-day activities and devote a substantial amount of time to managing these growth activities. Our ability to manage our growth properly and maintain compliance with all applicable rules and regulations will require us to continue to improve our operational, legal, financial and management controls, as well as our reporting systems and procedures. We may not be able to effectively manage the expansion of our operations, which may result in weaknesses in our infrastructure, operational mistakes, loss of business opportunities, loss of employees and reduced productivity among remaining employees.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sales and operations are subject to the risks of doing business internationally.</w:t>
      </w:r>
    </w:p>
    <w:p>
      <w:pPr>
        <w:spacing w:after="0" w:line="104"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We are increasing our presence in international markets, including emerging markets, subjecting us to many risks that could adversely affect our business and revenues, such as:</w:t>
      </w:r>
    </w:p>
    <w:p>
      <w:pPr>
        <w:spacing w:after="0" w:line="63" w:lineRule="exact"/>
        <w:rPr>
          <w:sz w:val="20"/>
          <w:szCs w:val="20"/>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or pricing approvals of products in a timely manner;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uncertainties regarding the collectability of accounts receivable;</w:t>
      </w:r>
    </w:p>
    <w:p>
      <w:pPr>
        <w:spacing w:after="0" w:line="103" w:lineRule="exact"/>
        <w:rPr>
          <w:rFonts w:ascii="Arial" w:cs="Arial" w:eastAsia="Arial" w:hAnsi="Arial"/>
          <w:sz w:val="18"/>
          <w:szCs w:val="18"/>
          <w:color w:val="auto"/>
        </w:rPr>
      </w:pPr>
    </w:p>
    <w:p>
      <w:pPr>
        <w:ind w:left="1260" w:right="84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revenues, net income and value of certain of our investments;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03" w:lineRule="exact"/>
        <w:rPr>
          <w:rFonts w:ascii="Arial" w:cs="Arial" w:eastAsia="Arial" w:hAnsi="Arial"/>
          <w:sz w:val="18"/>
          <w:szCs w:val="18"/>
          <w:color w:val="auto"/>
        </w:rPr>
      </w:pPr>
    </w:p>
    <w:p>
      <w:pPr>
        <w:ind w:left="1260" w:right="40" w:hanging="503"/>
        <w:spacing w:after="0" w:line="261"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62" w:lineRule="exact"/>
        <w:rPr>
          <w:rFonts w:ascii="Arial" w:cs="Arial" w:eastAsia="Arial" w:hAnsi="Arial"/>
          <w:sz w:val="18"/>
          <w:szCs w:val="18"/>
          <w:color w:val="auto"/>
        </w:rPr>
      </w:pPr>
    </w:p>
    <w:p>
      <w:pPr>
        <w:ind w:left="1260" w:right="720" w:hanging="503"/>
        <w:spacing w:after="0" w:line="261"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U.K., including the U.K. Bribery Act 2010, and elsewhere and escalation of investigations and prosecutions pursuant to such laws;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direct investments by foreign entities and trade restrictions;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tax laws and tariffs.</w:t>
      </w:r>
    </w:p>
    <w:p>
      <w:pPr>
        <w:spacing w:after="0" w:line="212"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In addition, our international operations are subject to regulation under U.S. law. For example, the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Unfavorable global economic conditions could harm our business, financial condition or results of operations.</w:t>
      </w:r>
    </w:p>
    <w:p>
      <w:pPr>
        <w:spacing w:after="0" w:line="104" w:lineRule="exact"/>
        <w:rPr>
          <w:sz w:val="20"/>
          <w:szCs w:val="20"/>
          <w:color w:val="auto"/>
        </w:rPr>
      </w:pPr>
    </w:p>
    <w:p>
      <w:pPr>
        <w:ind w:right="160" w:firstLine="749"/>
        <w:spacing w:after="0" w:line="279" w:lineRule="auto"/>
        <w:rPr>
          <w:sz w:val="20"/>
          <w:szCs w:val="20"/>
          <w:color w:val="auto"/>
        </w:rPr>
      </w:pPr>
      <w:r>
        <w:rPr>
          <w:rFonts w:ascii="Arial" w:cs="Arial" w:eastAsia="Arial" w:hAnsi="Arial"/>
          <w:sz w:val="16"/>
          <w:szCs w:val="16"/>
          <w:color w:val="auto"/>
        </w:rPr>
        <w:t>Our results of operations could be harmed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strain our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51"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Additionally, in June 2016, a majority of United Kingdom (“UK”) voters voted for the UK to exit the EU (Brexit) and, on January 31, 2020, the UK’s withdrawal became effective. A transition period applied until the end of 2020 during which the pre-Brexit legal regime continued to apply. Existing EU Treaties, EU free movement rights and the general principles of EU law now no longer apply in relation to the UK. EU regulations only continue to apply in UK domestic law (by virtue of the European Union Withdrawal Act of 2018) to the extent that they are not modified or revoked by regulations under that Act. The EU and the UK negotiating teams have agreed the terms of a detailed post-Brexit Trade and Cooperation Agreement which was applied provisionally as of January 1, 2021 and entered into force on May 1, 2021. The economic effects of Brexit will depend the implementation of this Trade and Cooperation Agreement. Brexit could adversely affect European and worldwide economic or market conditions and could contribute to instability in global financial markets. Brexit is likely to lead to legal uncertainty and potentially divergent national laws and regulations as the UK determines which EU laws to replace or replicate. We may face new regulatory costs and challenges as a result of Brexit that could have a material adverse effect on our operations. For example, as of January 1, 2021, the United Kingdom lost the benefits of global trade agreements negotiated by the EU on behalf of its members, which may result in increased trade barriers that could make our doing business in areas that are subject to such global trade agreements more difficult. Any of these effects of Brexit, and any other effects we cannot anticipate, could adversely affect our business, business opportunities, results of operations, financial condition and cash flows.</w:t>
      </w:r>
    </w:p>
    <w:p>
      <w:pPr>
        <w:spacing w:after="0" w:line="180"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Moreover, the COVID-19 pandemic is impacting the global economy, and the U.S. economy in particular, with the potential for any economic downturn to be severe and prolonged. A severe or prolonged economic downturn as a result of the COVID-19 pandemic could result in a variety of risks to our business, including disruptions in the financial markets, which could adversely impact our ability to raise additional capital when needed or on acceptable terms, if at all.</w:t>
      </w:r>
    </w:p>
    <w:p>
      <w:pPr>
        <w:spacing w:after="0" w:line="296"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171"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our proprietary business information and that of our suppliers, as well as personally identifiable information of the patients using our commercially approved products, clinical trial participants and employees. Similarly, our third-party providers possess certain of our sensitive data.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ind w:right="120"/>
        <w:spacing w:after="0" w:line="274" w:lineRule="auto"/>
        <w:rPr>
          <w:sz w:val="20"/>
          <w:szCs w:val="20"/>
          <w:color w:val="auto"/>
        </w:rPr>
      </w:pPr>
      <w:r>
        <w:rPr>
          <w:rFonts w:ascii="Arial" w:cs="Arial" w:eastAsia="Arial" w:hAnsi="Arial"/>
          <w:sz w:val="16"/>
          <w:szCs w:val="16"/>
          <w:color w:val="auto"/>
        </w:rPr>
        <w:t>The secure maintenance of this information is critical to our operations and business strategy. Our ongoing operating activities also depend on functioning computer systems. Despite our security measures, our information technology and infrastructure are subject to attacks or breaches. Any such breach could result in a material compromise of our networks, and the information stored there could be accessed, publicly disclosed, lost, stolen, or rendered, permanently or temporarily, inaccessible. Furthermore, we may not promptly discover a system intrusion. Attacks could have a material impact on our business, operations or financial results. Any such access, disclosure or other loss of information, including our data being breached at third party providers, could result in legal claims or proceedings, liability under laws that protect the privacy of personal information, disrupt our operations and damage our reputation, which could adversely affect our business. We also may need to pay “ransomware” to re-access our systems.</w:t>
      </w:r>
    </w:p>
    <w:p>
      <w:pPr>
        <w:spacing w:after="0" w:line="163"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In addition, privacy and data protection laws may be interpreted and applied differently from country to country and may create inconsistent or conflicting requirements, which increase the costs incurred by us in complying with such laws. The European Union’s GDPR, which greatly increases the jurisdictional reach of European Union law and became effective in May 2018, adds a broad array of requirements for handling personal data including the public disclosure of significant data breaches, and imposes substantial penalties for non-compliance of up to the greater of €20 million or 4% of global annual revenue for the preceding financial year. Our efforts to comply with GDPR and other privacy and data protection laws imposes significant costs and challenges that are likely to increase over time, and we are exposed to substantial penalties or litigation related to violations of existing or future data privacy laws and regulations.</w:t>
      </w:r>
    </w:p>
    <w:p>
      <w:pPr>
        <w:spacing w:after="0" w:line="191"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Additionally, the CCPA, which became effective January 1, 2020, substantially expands privacy obligations of many businesses. The CCPA requires new disclosures to California consumers, imposes new rules for collecting or using information about minors, and affords consumers new abilities, such as the right to know whether the data is sold or disclosed and to whom, the right to request that a company delete personal information collected, the right to opt-out of the sale of personal information and the right to non-discrimination in terms of price or service when a consumer exercises a privacy right. Failure to comply with these regulations is subject to civil sanctions, including fines and penalties. The CCPA provides for civil penalties for violations, as well as a private right of action for data breaches that is expected to increase data breach litigation. Moreover, a newly passed ballot initiative, the California Privacy Rights Act (“CPRA”), which will become operational in 2023, expands on the CCPA, creating new consumer rights and protections, including the right to correct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We will need to evaluate and potentially update our privacy program to seek to comply with the CPRA and will incur additional costs and expenses in our effort to comply.</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incur substantial costs in connection with litigation and other disputes.</w:t>
      </w:r>
    </w:p>
    <w:p>
      <w:pPr>
        <w:spacing w:after="0" w:line="104" w:lineRule="exact"/>
        <w:rPr>
          <w:sz w:val="20"/>
          <w:szCs w:val="20"/>
          <w:color w:val="auto"/>
        </w:rPr>
      </w:pPr>
    </w:p>
    <w:p>
      <w:pPr>
        <w:jc w:val="both"/>
        <w:ind w:right="220" w:firstLine="749"/>
        <w:spacing w:after="0" w:line="241" w:lineRule="auto"/>
        <w:rPr>
          <w:sz w:val="20"/>
          <w:szCs w:val="20"/>
          <w:color w:val="auto"/>
        </w:rPr>
      </w:pPr>
      <w:r>
        <w:rPr>
          <w:rFonts w:ascii="Arial" w:cs="Arial" w:eastAsia="Arial" w:hAnsi="Arial"/>
          <w:sz w:val="18"/>
          <w:szCs w:val="18"/>
          <w:color w:val="auto"/>
        </w:rPr>
        <w:t>In the ordinary course of business we may, and in some cases have, become involved in lawsuits and other disputes such as securities claims, intellectual property challenges, including interferences declared by the USPTO, and employee matters. It is possible that we may not prevail in claims made against us in such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04"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Social media is increasingly being used to communicate about our products, technologies and programs, and the diseases our product and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and/or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9" w:name="page70"/>
    <w:bookmarkEnd w:id="69"/>
    <w:p>
      <w:pPr>
        <w:ind w:right="440" w:firstLine="749"/>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and/or terrorism attacks, and our business continuity and disaster recovery plans may not adequately protect us from a serious disaster.</w:t>
      </w:r>
    </w:p>
    <w:p>
      <w:pPr>
        <w:spacing w:after="0" w:line="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terrorism attack or other event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or, in certain cases, impossible for us to continue our business for a substantial period of time.</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08" w:lineRule="exact"/>
        <w:rPr>
          <w:sz w:val="20"/>
          <w:szCs w:val="20"/>
          <w:color w:val="auto"/>
        </w:rPr>
      </w:pPr>
    </w:p>
    <w:p>
      <w:pPr>
        <w:ind w:right="200" w:firstLine="749"/>
        <w:spacing w:after="0" w:line="270" w:lineRule="auto"/>
        <w:rPr>
          <w:sz w:val="20"/>
          <w:szCs w:val="20"/>
          <w:color w:val="auto"/>
        </w:rPr>
      </w:pPr>
      <w:r>
        <w:rPr>
          <w:rFonts w:ascii="Arial" w:cs="Arial" w:eastAsia="Arial" w:hAnsi="Arial"/>
          <w:sz w:val="17"/>
          <w:szCs w:val="17"/>
          <w:color w:val="auto"/>
        </w:rPr>
        <w:t>A description of the facilities we own and/or occupy is included in the following table. We believe that our current facilities in Cambridge, Andover and Burlington, Massachusetts and Columbus, Ohio are suitable and will provide sufficient capacity to meet the projected needs of our business for the next 12 months. Except as noted below, all of our properties are currently being used in the operation of our business.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jc w:val="right"/>
              <w:ind w:right="214"/>
              <w:spacing w:after="0"/>
              <w:rPr>
                <w:sz w:val="20"/>
                <w:szCs w:val="20"/>
                <w:color w:val="auto"/>
              </w:rPr>
            </w:pPr>
            <w:r>
              <w:rPr>
                <w:rFonts w:ascii="Arial" w:cs="Arial" w:eastAsia="Arial" w:hAnsi="Arial"/>
                <w:sz w:val="14"/>
                <w:szCs w:val="14"/>
                <w:b w:val="1"/>
                <w:bCs w:val="1"/>
                <w:color w:val="auto"/>
              </w:rPr>
              <w:t>Square</w:t>
            </w:r>
          </w:p>
        </w:tc>
        <w:tc>
          <w:tcPr>
            <w:tcW w:w="80" w:type="dxa"/>
            <w:vAlign w:val="bottom"/>
          </w:tcPr>
          <w:p>
            <w:pPr>
              <w:spacing w:after="0"/>
              <w:rPr>
                <w:sz w:val="14"/>
                <w:szCs w:val="14"/>
                <w:color w:val="auto"/>
              </w:rPr>
            </w:pPr>
          </w:p>
        </w:tc>
        <w:tc>
          <w:tcPr>
            <w:tcW w:w="2080" w:type="dxa"/>
            <w:vAlign w:val="bottom"/>
          </w:tcPr>
          <w:p>
            <w:pPr>
              <w:ind w:left="680"/>
              <w:spacing w:after="0"/>
              <w:rPr>
                <w:sz w:val="20"/>
                <w:szCs w:val="20"/>
                <w:color w:val="auto"/>
              </w:rPr>
            </w:pPr>
            <w:r>
              <w:rPr>
                <w:rFonts w:ascii="Arial" w:cs="Arial" w:eastAsia="Arial" w:hAnsi="Arial"/>
                <w:sz w:val="14"/>
                <w:szCs w:val="14"/>
                <w:b w:val="1"/>
                <w:bCs w:val="1"/>
                <w:color w:val="auto"/>
              </w:rPr>
              <w:t>Lease Expiration</w:t>
            </w: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Location of Property</w:t>
            </w:r>
          </w:p>
        </w:tc>
        <w:tc>
          <w:tcPr>
            <w:tcW w:w="1060" w:type="dxa"/>
            <w:vAlign w:val="bottom"/>
          </w:tcPr>
          <w:p>
            <w:pPr>
              <w:jc w:val="right"/>
              <w:ind w:right="194"/>
              <w:spacing w:after="0"/>
              <w:rPr>
                <w:sz w:val="20"/>
                <w:szCs w:val="20"/>
                <w:color w:val="auto"/>
              </w:rPr>
            </w:pPr>
            <w:r>
              <w:rPr>
                <w:rFonts w:ascii="Arial" w:cs="Arial" w:eastAsia="Arial" w:hAnsi="Arial"/>
                <w:sz w:val="14"/>
                <w:szCs w:val="14"/>
                <w:b w:val="1"/>
                <w:bCs w:val="1"/>
                <w:color w:val="auto"/>
              </w:rPr>
              <w:t>Footage</w:t>
            </w:r>
          </w:p>
        </w:tc>
        <w:tc>
          <w:tcPr>
            <w:tcW w:w="80" w:type="dxa"/>
            <w:vAlign w:val="bottom"/>
          </w:tcPr>
          <w:p>
            <w:pPr>
              <w:spacing w:after="0"/>
              <w:rPr>
                <w:sz w:val="14"/>
                <w:szCs w:val="14"/>
                <w:color w:val="auto"/>
              </w:rPr>
            </w:pPr>
          </w:p>
        </w:tc>
        <w:tc>
          <w:tcPr>
            <w:tcW w:w="2080" w:type="dxa"/>
            <w:vAlign w:val="bottom"/>
          </w:tcPr>
          <w:p>
            <w:pPr>
              <w:ind w:left="106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2340" w:type="dxa"/>
            <w:vAlign w:val="bottom"/>
          </w:tcPr>
          <w:p>
            <w:pPr>
              <w:ind w:left="920"/>
              <w:spacing w:after="0"/>
              <w:rPr>
                <w:sz w:val="20"/>
                <w:szCs w:val="20"/>
                <w:color w:val="auto"/>
              </w:rPr>
            </w:pPr>
            <w:r>
              <w:rPr>
                <w:rFonts w:ascii="Arial" w:cs="Arial" w:eastAsia="Arial" w:hAnsi="Arial"/>
                <w:sz w:val="14"/>
                <w:szCs w:val="14"/>
                <w:b w:val="1"/>
                <w:bCs w:val="1"/>
                <w:color w:val="auto"/>
              </w:rPr>
              <w:t>Purpose</w:t>
            </w:r>
          </w:p>
        </w:tc>
        <w:tc>
          <w:tcPr>
            <w:tcW w:w="120" w:type="dxa"/>
            <w:vAlign w:val="bottom"/>
          </w:tcPr>
          <w:p>
            <w:pPr>
              <w:spacing w:after="0"/>
              <w:rPr>
                <w:sz w:val="14"/>
                <w:szCs w:val="14"/>
                <w:color w:val="auto"/>
              </w:rPr>
            </w:pPr>
          </w:p>
        </w:tc>
        <w:tc>
          <w:tcPr>
            <w:tcW w:w="2140" w:type="dxa"/>
            <w:vAlign w:val="bottom"/>
          </w:tcPr>
          <w:p>
            <w:pPr>
              <w:ind w:left="480"/>
              <w:spacing w:after="0"/>
              <w:rPr>
                <w:sz w:val="20"/>
                <w:szCs w:val="20"/>
                <w:color w:val="auto"/>
              </w:rPr>
            </w:pPr>
            <w:r>
              <w:rPr>
                <w:rFonts w:ascii="Arial" w:cs="Arial" w:eastAsia="Arial" w:hAnsi="Arial"/>
                <w:sz w:val="14"/>
                <w:szCs w:val="14"/>
                <w:b w:val="1"/>
                <w:bCs w:val="1"/>
                <w:color w:val="auto"/>
              </w:rPr>
              <w:t>Other Information</w:t>
            </w:r>
          </w:p>
        </w:tc>
      </w:tr>
      <w:tr>
        <w:trPr>
          <w:trHeight w:val="27"/>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3"/>
              </w:rPr>
              <w:t>215</w:t>
            </w:r>
          </w:p>
        </w:tc>
        <w:tc>
          <w:tcPr>
            <w:tcW w:w="29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First Street, Cambridge, MA</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170,929</w:t>
            </w:r>
          </w:p>
        </w:tc>
        <w:tc>
          <w:tcPr>
            <w:tcW w:w="80" w:type="dxa"/>
            <w:vAlign w:val="bottom"/>
            <w:shd w:val="clear" w:color="auto" w:fill="CFF0FC"/>
          </w:tcPr>
          <w:p>
            <w:pPr>
              <w:spacing w:after="0"/>
              <w:rPr>
                <w:sz w:val="17"/>
                <w:szCs w:val="17"/>
                <w:color w:val="auto"/>
              </w:rPr>
            </w:pPr>
          </w:p>
        </w:tc>
        <w:tc>
          <w:tcPr>
            <w:tcW w:w="20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September 2025</w:t>
            </w: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and office space</w:t>
            </w: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headquarters</w:t>
            </w:r>
          </w:p>
        </w:tc>
      </w:tr>
      <w:tr>
        <w:trPr>
          <w:trHeight w:val="203"/>
        </w:trPr>
        <w:tc>
          <w:tcPr>
            <w:tcW w:w="3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3"/>
              </w:rPr>
              <w:t>100</w:t>
            </w:r>
          </w:p>
        </w:tc>
        <w:tc>
          <w:tcPr>
            <w:tcW w:w="2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Federal Street, Andover, MA</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65,589</w:t>
            </w:r>
          </w:p>
        </w:tc>
        <w:tc>
          <w:tcPr>
            <w:tcW w:w="80" w:type="dxa"/>
            <w:vAlign w:val="bottom"/>
          </w:tcPr>
          <w:p>
            <w:pPr>
              <w:spacing w:after="0"/>
              <w:rPr>
                <w:sz w:val="17"/>
                <w:szCs w:val="17"/>
                <w:color w:val="auto"/>
              </w:rPr>
            </w:pPr>
          </w:p>
        </w:tc>
        <w:tc>
          <w:tcPr>
            <w:tcW w:w="2080" w:type="dxa"/>
            <w:vAlign w:val="bottom"/>
          </w:tcPr>
          <w:p>
            <w:pPr>
              <w:ind w:left="340"/>
              <w:spacing w:after="0" w:line="202" w:lineRule="exact"/>
              <w:rPr>
                <w:sz w:val="20"/>
                <w:szCs w:val="20"/>
                <w:color w:val="auto"/>
              </w:rPr>
            </w:pPr>
            <w:r>
              <w:rPr>
                <w:rFonts w:ascii="Arial" w:cs="Arial" w:eastAsia="Arial" w:hAnsi="Arial"/>
                <w:sz w:val="18"/>
                <w:szCs w:val="18"/>
                <w:color w:val="auto"/>
              </w:rPr>
              <w:t>N/A- facility is owned</w:t>
            </w:r>
          </w:p>
        </w:tc>
        <w:tc>
          <w:tcPr>
            <w:tcW w:w="120" w:type="dxa"/>
            <w:vAlign w:val="bottom"/>
          </w:tcPr>
          <w:p>
            <w:pPr>
              <w:spacing w:after="0"/>
              <w:rPr>
                <w:sz w:val="17"/>
                <w:szCs w:val="17"/>
                <w:color w:val="auto"/>
              </w:rPr>
            </w:pPr>
          </w:p>
        </w:tc>
        <w:tc>
          <w:tcPr>
            <w:tcW w:w="2340" w:type="dxa"/>
            <w:vAlign w:val="bottom"/>
          </w:tcPr>
          <w:p>
            <w:pPr>
              <w:ind w:left="20"/>
              <w:spacing w:after="0" w:line="202" w:lineRule="exact"/>
              <w:rPr>
                <w:sz w:val="20"/>
                <w:szCs w:val="20"/>
                <w:color w:val="auto"/>
              </w:rPr>
            </w:pPr>
            <w:r>
              <w:rPr>
                <w:rFonts w:ascii="Arial" w:cs="Arial" w:eastAsia="Arial" w:hAnsi="Arial"/>
                <w:sz w:val="18"/>
                <w:szCs w:val="18"/>
                <w:color w:val="auto"/>
              </w:rPr>
              <w:t>Laboratory and office space</w:t>
            </w:r>
          </w:p>
        </w:tc>
        <w:tc>
          <w:tcPr>
            <w:tcW w:w="12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Primarily laboratory space</w:t>
            </w:r>
          </w:p>
        </w:tc>
      </w:tr>
      <w:tr>
        <w:trPr>
          <w:trHeight w:val="203"/>
        </w:trPr>
        <w:tc>
          <w:tcPr>
            <w:tcW w:w="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3"/>
              </w:rPr>
              <w:t>300</w:t>
            </w:r>
          </w:p>
        </w:tc>
        <w:tc>
          <w:tcPr>
            <w:tcW w:w="29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Federal Street, Andover, MA</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23,102</w:t>
            </w:r>
          </w:p>
        </w:tc>
        <w:tc>
          <w:tcPr>
            <w:tcW w:w="80" w:type="dxa"/>
            <w:vAlign w:val="bottom"/>
            <w:shd w:val="clear" w:color="auto" w:fill="CFF0FC"/>
          </w:tcPr>
          <w:p>
            <w:pPr>
              <w:spacing w:after="0"/>
              <w:rPr>
                <w:sz w:val="17"/>
                <w:szCs w:val="17"/>
                <w:color w:val="auto"/>
              </w:rPr>
            </w:pPr>
          </w:p>
        </w:tc>
        <w:tc>
          <w:tcPr>
            <w:tcW w:w="20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December 2023</w:t>
            </w: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Office space</w:t>
            </w: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Office space</w:t>
            </w:r>
          </w:p>
        </w:tc>
      </w:tr>
      <w:tr>
        <w:trPr>
          <w:trHeight w:val="203"/>
        </w:trPr>
        <w:tc>
          <w:tcPr>
            <w:tcW w:w="33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55 Network Drive, Burlington, MA</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44,740</w:t>
            </w:r>
          </w:p>
        </w:tc>
        <w:tc>
          <w:tcPr>
            <w:tcW w:w="80" w:type="dxa"/>
            <w:vAlign w:val="bottom"/>
          </w:tcPr>
          <w:p>
            <w:pPr>
              <w:spacing w:after="0"/>
              <w:rPr>
                <w:sz w:val="17"/>
                <w:szCs w:val="17"/>
                <w:color w:val="auto"/>
              </w:rPr>
            </w:pPr>
          </w:p>
        </w:tc>
        <w:tc>
          <w:tcPr>
            <w:tcW w:w="2080" w:type="dxa"/>
            <w:vAlign w:val="bottom"/>
          </w:tcPr>
          <w:p>
            <w:pPr>
              <w:ind w:left="340"/>
              <w:spacing w:after="0" w:line="202" w:lineRule="exact"/>
              <w:rPr>
                <w:sz w:val="20"/>
                <w:szCs w:val="20"/>
                <w:color w:val="auto"/>
              </w:rPr>
            </w:pPr>
            <w:r>
              <w:rPr>
                <w:rFonts w:ascii="Arial" w:cs="Arial" w:eastAsia="Arial" w:hAnsi="Arial"/>
                <w:sz w:val="18"/>
                <w:szCs w:val="18"/>
                <w:color w:val="auto"/>
              </w:rPr>
              <w:t>January 2022</w:t>
            </w:r>
          </w:p>
        </w:tc>
        <w:tc>
          <w:tcPr>
            <w:tcW w:w="120" w:type="dxa"/>
            <w:vAlign w:val="bottom"/>
          </w:tcPr>
          <w:p>
            <w:pPr>
              <w:spacing w:after="0"/>
              <w:rPr>
                <w:sz w:val="17"/>
                <w:szCs w:val="17"/>
                <w:color w:val="auto"/>
              </w:rPr>
            </w:pPr>
          </w:p>
        </w:tc>
        <w:tc>
          <w:tcPr>
            <w:tcW w:w="2340" w:type="dxa"/>
            <w:vAlign w:val="bottom"/>
          </w:tcPr>
          <w:p>
            <w:pPr>
              <w:ind w:left="20"/>
              <w:spacing w:after="0" w:line="202" w:lineRule="exact"/>
              <w:rPr>
                <w:sz w:val="20"/>
                <w:szCs w:val="20"/>
                <w:color w:val="auto"/>
              </w:rPr>
            </w:pPr>
            <w:r>
              <w:rPr>
                <w:rFonts w:ascii="Arial" w:cs="Arial" w:eastAsia="Arial" w:hAnsi="Arial"/>
                <w:sz w:val="18"/>
                <w:szCs w:val="18"/>
                <w:color w:val="auto"/>
              </w:rPr>
              <w:t>Laboratory and office space</w:t>
            </w:r>
          </w:p>
        </w:tc>
        <w:tc>
          <w:tcPr>
            <w:tcW w:w="12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Primarily laboratory space</w:t>
            </w:r>
          </w:p>
        </w:tc>
      </w:tr>
      <w:tr>
        <w:trPr>
          <w:trHeight w:val="162"/>
        </w:trPr>
        <w:tc>
          <w:tcPr>
            <w:tcW w:w="33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8"/>
                <w:szCs w:val="18"/>
                <w:color w:val="auto"/>
              </w:rPr>
              <w:t>5200 Blazer Parkway, Dublin, OH</w:t>
            </w:r>
          </w:p>
        </w:tc>
        <w:tc>
          <w:tcPr>
            <w:tcW w:w="10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45,200</w:t>
            </w:r>
          </w:p>
        </w:tc>
        <w:tc>
          <w:tcPr>
            <w:tcW w:w="80" w:type="dxa"/>
            <w:vAlign w:val="bottom"/>
            <w:shd w:val="clear" w:color="auto" w:fill="CFF0FC"/>
          </w:tcPr>
          <w:p>
            <w:pPr>
              <w:spacing w:after="0"/>
              <w:rPr>
                <w:sz w:val="14"/>
                <w:szCs w:val="14"/>
                <w:color w:val="auto"/>
              </w:rPr>
            </w:pPr>
          </w:p>
        </w:tc>
        <w:tc>
          <w:tcPr>
            <w:tcW w:w="2080" w:type="dxa"/>
            <w:vAlign w:val="bottom"/>
            <w:shd w:val="clear" w:color="auto" w:fill="CFF0FC"/>
          </w:tcPr>
          <w:p>
            <w:pPr>
              <w:ind w:left="340"/>
              <w:spacing w:after="0" w:line="162" w:lineRule="exact"/>
              <w:rPr>
                <w:sz w:val="20"/>
                <w:szCs w:val="20"/>
                <w:color w:val="auto"/>
              </w:rPr>
            </w:pPr>
            <w:r>
              <w:rPr>
                <w:rFonts w:ascii="Arial" w:cs="Arial" w:eastAsia="Arial" w:hAnsi="Arial"/>
                <w:sz w:val="18"/>
                <w:szCs w:val="18"/>
                <w:color w:val="auto"/>
              </w:rPr>
              <w:t>December 2022 and</w:t>
            </w:r>
          </w:p>
        </w:tc>
        <w:tc>
          <w:tcPr>
            <w:tcW w:w="120" w:type="dxa"/>
            <w:vAlign w:val="bottom"/>
            <w:shd w:val="clear" w:color="auto" w:fill="CFF0FC"/>
          </w:tcPr>
          <w:p>
            <w:pPr>
              <w:spacing w:after="0"/>
              <w:rPr>
                <w:sz w:val="14"/>
                <w:szCs w:val="14"/>
                <w:color w:val="auto"/>
              </w:rPr>
            </w:pPr>
          </w:p>
        </w:tc>
        <w:tc>
          <w:tcPr>
            <w:tcW w:w="23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Laboratory and office space</w:t>
            </w: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Primarily laboratory space</w:t>
            </w:r>
          </w:p>
        </w:tc>
      </w:tr>
      <w:tr>
        <w:trPr>
          <w:trHeight w:val="216"/>
        </w:trPr>
        <w:tc>
          <w:tcPr>
            <w:tcW w:w="33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2nd and 3rd Floor</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2023, respectively</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r>
        <w:trPr>
          <w:trHeight w:val="203"/>
        </w:trPr>
        <w:tc>
          <w:tcPr>
            <w:tcW w:w="33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3435 Stelzer Road, Columbus, OH</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77,679</w:t>
            </w:r>
          </w:p>
        </w:tc>
        <w:tc>
          <w:tcPr>
            <w:tcW w:w="80" w:type="dxa"/>
            <w:vAlign w:val="bottom"/>
          </w:tcPr>
          <w:p>
            <w:pPr>
              <w:spacing w:after="0"/>
              <w:rPr>
                <w:sz w:val="17"/>
                <w:szCs w:val="17"/>
                <w:color w:val="auto"/>
              </w:rPr>
            </w:pPr>
          </w:p>
        </w:tc>
        <w:tc>
          <w:tcPr>
            <w:tcW w:w="2080" w:type="dxa"/>
            <w:vAlign w:val="bottom"/>
          </w:tcPr>
          <w:p>
            <w:pPr>
              <w:ind w:left="340"/>
              <w:spacing w:after="0" w:line="202" w:lineRule="exact"/>
              <w:rPr>
                <w:sz w:val="20"/>
                <w:szCs w:val="20"/>
                <w:color w:val="auto"/>
              </w:rPr>
            </w:pPr>
            <w:r>
              <w:rPr>
                <w:rFonts w:ascii="Arial" w:cs="Arial" w:eastAsia="Arial" w:hAnsi="Arial"/>
                <w:sz w:val="18"/>
                <w:szCs w:val="18"/>
                <w:color w:val="auto"/>
              </w:rPr>
              <w:t>June 2026</w:t>
            </w:r>
          </w:p>
        </w:tc>
        <w:tc>
          <w:tcPr>
            <w:tcW w:w="120" w:type="dxa"/>
            <w:vAlign w:val="bottom"/>
          </w:tcPr>
          <w:p>
            <w:pPr>
              <w:spacing w:after="0"/>
              <w:rPr>
                <w:sz w:val="17"/>
                <w:szCs w:val="17"/>
                <w:color w:val="auto"/>
              </w:rPr>
            </w:pPr>
          </w:p>
        </w:tc>
        <w:tc>
          <w:tcPr>
            <w:tcW w:w="2340" w:type="dxa"/>
            <w:vAlign w:val="bottom"/>
          </w:tcPr>
          <w:p>
            <w:pPr>
              <w:ind w:left="20"/>
              <w:spacing w:after="0" w:line="202" w:lineRule="exact"/>
              <w:rPr>
                <w:sz w:val="20"/>
                <w:szCs w:val="20"/>
                <w:color w:val="auto"/>
              </w:rPr>
            </w:pPr>
            <w:r>
              <w:rPr>
                <w:rFonts w:ascii="Arial" w:cs="Arial" w:eastAsia="Arial" w:hAnsi="Arial"/>
                <w:sz w:val="18"/>
                <w:szCs w:val="18"/>
                <w:color w:val="auto"/>
              </w:rPr>
              <w:t>Laboratory and office space</w:t>
            </w:r>
          </w:p>
        </w:tc>
        <w:tc>
          <w:tcPr>
            <w:tcW w:w="12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Primarily laboratory space</w:t>
            </w:r>
          </w:p>
        </w:tc>
      </w:tr>
      <w:tr>
        <w:trPr>
          <w:trHeight w:val="162"/>
        </w:trPr>
        <w:tc>
          <w:tcPr>
            <w:tcW w:w="32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w w:val="93"/>
              </w:rPr>
              <w:t>701</w:t>
            </w:r>
          </w:p>
        </w:tc>
        <w:tc>
          <w:tcPr>
            <w:tcW w:w="29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w w:val="96"/>
              </w:rPr>
              <w:t>West Main Street, Suite 102, Durham,</w:t>
            </w:r>
          </w:p>
        </w:tc>
        <w:tc>
          <w:tcPr>
            <w:tcW w:w="10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4,346</w:t>
            </w:r>
          </w:p>
        </w:tc>
        <w:tc>
          <w:tcPr>
            <w:tcW w:w="80" w:type="dxa"/>
            <w:vAlign w:val="bottom"/>
            <w:shd w:val="clear" w:color="auto" w:fill="CFF0FC"/>
          </w:tcPr>
          <w:p>
            <w:pPr>
              <w:spacing w:after="0"/>
              <w:rPr>
                <w:sz w:val="14"/>
                <w:szCs w:val="14"/>
                <w:color w:val="auto"/>
              </w:rPr>
            </w:pPr>
          </w:p>
        </w:tc>
        <w:tc>
          <w:tcPr>
            <w:tcW w:w="2080" w:type="dxa"/>
            <w:vAlign w:val="bottom"/>
            <w:shd w:val="clear" w:color="auto" w:fill="CFF0FC"/>
          </w:tcPr>
          <w:p>
            <w:pPr>
              <w:ind w:left="340"/>
              <w:spacing w:after="0" w:line="162" w:lineRule="exact"/>
              <w:rPr>
                <w:sz w:val="20"/>
                <w:szCs w:val="20"/>
                <w:color w:val="auto"/>
              </w:rPr>
            </w:pPr>
            <w:r>
              <w:rPr>
                <w:rFonts w:ascii="Arial" w:cs="Arial" w:eastAsia="Arial" w:hAnsi="Arial"/>
                <w:sz w:val="18"/>
                <w:szCs w:val="18"/>
                <w:color w:val="auto"/>
              </w:rPr>
              <w:t>March 2024</w:t>
            </w:r>
          </w:p>
        </w:tc>
        <w:tc>
          <w:tcPr>
            <w:tcW w:w="120" w:type="dxa"/>
            <w:vAlign w:val="bottom"/>
            <w:shd w:val="clear" w:color="auto" w:fill="CFF0FC"/>
          </w:tcPr>
          <w:p>
            <w:pPr>
              <w:spacing w:after="0"/>
              <w:rPr>
                <w:sz w:val="14"/>
                <w:szCs w:val="14"/>
                <w:color w:val="auto"/>
              </w:rPr>
            </w:pPr>
          </w:p>
        </w:tc>
        <w:tc>
          <w:tcPr>
            <w:tcW w:w="23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Laboratory and office space</w:t>
            </w: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Primarily laboratory space</w:t>
            </w:r>
          </w:p>
        </w:tc>
      </w:tr>
      <w:tr>
        <w:trPr>
          <w:trHeight w:val="21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NC</w:t>
            </w:r>
          </w:p>
        </w:tc>
        <w:tc>
          <w:tcPr>
            <w:tcW w:w="9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08" w:lineRule="exact"/>
        <w:rPr>
          <w:sz w:val="20"/>
          <w:szCs w:val="20"/>
          <w:color w:val="auto"/>
        </w:rPr>
      </w:pPr>
    </w:p>
    <w:p>
      <w:pPr>
        <w:ind w:right="560" w:firstLine="749"/>
        <w:spacing w:after="0" w:line="261" w:lineRule="auto"/>
        <w:rPr>
          <w:sz w:val="20"/>
          <w:szCs w:val="20"/>
          <w:color w:val="auto"/>
        </w:rPr>
      </w:pPr>
      <w:r>
        <w:rPr>
          <w:rFonts w:ascii="Arial" w:cs="Arial" w:eastAsia="Arial" w:hAnsi="Arial"/>
          <w:sz w:val="18"/>
          <w:szCs w:val="18"/>
          <w:color w:val="auto"/>
        </w:rPr>
        <w:t xml:space="preserve">For material legal proceedings, please read </w:t>
      </w:r>
      <w:r>
        <w:rPr>
          <w:rFonts w:ascii="Arial" w:cs="Arial" w:eastAsia="Arial" w:hAnsi="Arial"/>
          <w:sz w:val="18"/>
          <w:szCs w:val="18"/>
          <w:i w:val="1"/>
          <w:iCs w:val="1"/>
          <w:color w:val="auto"/>
        </w:rPr>
        <w:t>Note 21, Commitments and Contingencies - Litigation</w:t>
      </w:r>
      <w:r>
        <w:rPr>
          <w:rFonts w:ascii="Arial" w:cs="Arial" w:eastAsia="Arial" w:hAnsi="Arial"/>
          <w:sz w:val="18"/>
          <w:szCs w:val="18"/>
          <w:color w:val="auto"/>
        </w:rPr>
        <w:t xml:space="preserve"> to our consolidated financial statements included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right="1900"/>
        <w:spacing w:after="0" w:line="362" w:lineRule="auto"/>
        <w:rPr>
          <w:sz w:val="20"/>
          <w:szCs w:val="20"/>
          <w:color w:val="auto"/>
        </w:rPr>
      </w:pPr>
      <w:r>
        <w:rPr>
          <w:rFonts w:ascii="Arial" w:cs="Arial" w:eastAsia="Arial" w:hAnsi="Arial"/>
          <w:sz w:val="18"/>
          <w:szCs w:val="18"/>
          <w:b w:val="1"/>
          <w:bCs w:val="1"/>
          <w:u w:val="single" w:color="auto"/>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is quoted on the NASDAQ Global Select Market under the same symbol “SRPT”.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February 24, 2022, we had 169 stockholders of record of our common stock.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240" w:firstLine="749"/>
        <w:spacing w:after="0" w:line="248" w:lineRule="auto"/>
        <w:rPr>
          <w:sz w:val="20"/>
          <w:szCs w:val="20"/>
          <w:color w:val="auto"/>
        </w:rPr>
      </w:pPr>
      <w:r>
        <w:rPr>
          <w:rFonts w:ascii="Arial" w:cs="Arial" w:eastAsia="Arial" w:hAnsi="Arial"/>
          <w:sz w:val="18"/>
          <w:szCs w:val="18"/>
          <w:color w:val="auto"/>
        </w:rPr>
        <w:t>We did not declare or pay cash dividends on our common stock in 2021, 2020 or 2019. We currently expect to retain future earnings, if any, to finance the operation and expansion of our business, and we do not anticipate paying any cash dividends in the foreseeable future. Any future determination related to our dividend policy will be made at the discretion of our board of directors.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The following graph compares the performance of our Common Stock for the periods indicated with the performance of the NASDAQ Composite Index, NASDAQ Biotechnology Index and the NYSE ARCA Biotechnology Index. This graph assumes an investment of $100 after the market closed December 30, 2016 in each of our common stock, the NASDAQ Composite Index, NASDAQ Biotechnology Index and the NYSE ARCA Biotechnology Index, and assumes reinvestment of dividends, if any. The stock price performance shown on the graph below is not necessarily indicative of future stock price performance. This graph is not “soliciting material,” is not deemed “filed” with the SEC and is not to be incorporated by reference into any of our filings under the Securities Act of 1933, as amended,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54610</wp:posOffset>
            </wp:positionV>
            <wp:extent cx="5117465" cy="2743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1746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94" w:lineRule="exact"/>
        <w:rPr>
          <w:sz w:val="20"/>
          <w:szCs w:val="20"/>
          <w:color w:val="auto"/>
        </w:rPr>
      </w:pPr>
    </w:p>
    <w:p>
      <w:pPr>
        <w:ind w:right="40" w:firstLine="749"/>
        <w:spacing w:after="0" w:line="224" w:lineRule="auto"/>
        <w:rPr>
          <w:sz w:val="20"/>
          <w:szCs w:val="20"/>
          <w:color w:val="auto"/>
        </w:rPr>
      </w:pPr>
      <w:r>
        <w:rPr>
          <w:rFonts w:ascii="Arial" w:cs="Arial" w:eastAsia="Arial" w:hAnsi="Arial"/>
          <w:sz w:val="18"/>
          <w:szCs w:val="18"/>
          <w:i w:val="1"/>
          <w:iCs w:val="1"/>
          <w:color w:val="auto"/>
        </w:rPr>
        <w:t>The purpose of Management's Discussion and Analysis of Financial Condition and Results of Operations is to provide an understanding of the financial condition, changes in financial condition and results of operations of Sarepta Therapeutics, Inc. 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Please review our legend titled “Forward-Looking Information” at the beginning of this Annual Report on Form 10-K which is incorporated herein by reference.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Throughout this discussion, unless the context specifies or implies otherwise, the terms “Sarepta”, “we”, “us” and “our” refer to Sarepta Therapeutics, Inc. and its subsidiaries.</w:t>
      </w:r>
    </w:p>
    <w:p>
      <w:pPr>
        <w:spacing w:after="0" w:line="178" w:lineRule="exact"/>
        <w:rPr>
          <w:sz w:val="20"/>
          <w:szCs w:val="20"/>
          <w:color w:val="auto"/>
        </w:rPr>
      </w:pPr>
    </w:p>
    <w:p>
      <w:pPr>
        <w:jc w:val="both"/>
        <w:ind w:right="160" w:firstLine="749"/>
        <w:spacing w:after="0" w:line="276" w:lineRule="auto"/>
        <w:rPr>
          <w:sz w:val="20"/>
          <w:szCs w:val="20"/>
          <w:color w:val="auto"/>
        </w:rPr>
      </w:pPr>
      <w:r>
        <w:rPr>
          <w:rFonts w:ascii="Arial" w:cs="Arial" w:eastAsia="Arial" w:hAnsi="Arial"/>
          <w:sz w:val="16"/>
          <w:szCs w:val="16"/>
          <w:i w:val="1"/>
          <w:iCs w:val="1"/>
          <w:color w:val="auto"/>
        </w:rPr>
        <w:t>This section discusses 2021 and 2020 items and year-to-year comparisons between 2021 and 2020. Discussions of 2019 items and year-to-year comparisons between 2020 and 2019 have been excluded from this Form 10-K and can be found in “Management’s Discussion and Analysis of Financial Condition and Results of Operations” in Part II, Item 7 of our Annual Report on Form 10-K for the fiscal year ended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firstLine="749"/>
        <w:spacing w:after="0" w:line="232" w:lineRule="auto"/>
        <w:rPr>
          <w:sz w:val="20"/>
          <w:szCs w:val="20"/>
          <w:color w:val="auto"/>
        </w:rPr>
      </w:pPr>
      <w:r>
        <w:rPr>
          <w:rFonts w:ascii="Arial" w:cs="Arial" w:eastAsia="Arial" w:hAnsi="Arial"/>
          <w:sz w:val="17"/>
          <w:szCs w:val="17"/>
          <w:color w:val="auto"/>
        </w:rPr>
        <w:t>We are a commercial-stage biopharmaceutical company focused on helping patients through the discovery and development of unique RNA-targeted therapeutics, gene therapy and other genetic therapeutic modalities for the treatment of rare diseases. Applying our proprietary, highly-differentiated and innovative technologies, and through collaborations with our strategic partners, we are developing potential therapeutic candidates for a broad range of diseases and disorders, including Duchenne, LGMDs, and other CNS related disorders.</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commercialize three products, all of which were granted accelerated approval by the FDA:</w:t>
      </w:r>
    </w:p>
    <w:p>
      <w:pPr>
        <w:spacing w:after="0" w:line="90" w:lineRule="exact"/>
        <w:rPr>
          <w:sz w:val="20"/>
          <w:szCs w:val="20"/>
          <w:color w:val="auto"/>
        </w:rPr>
      </w:pPr>
    </w:p>
    <w:p>
      <w:pPr>
        <w:ind w:left="1260" w:right="100" w:hanging="503"/>
        <w:spacing w:after="0" w:line="294" w:lineRule="auto"/>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EXONDYS 51 (eteplirsen) Injection (“EXONDYS 51”), approved by the FDA on September 19, 2016, is indicated for the treatment of Duchenne in patients who have a confirmed mutation of the dystrophin gene that is amenable to exon 51 skipping. EXONDYS 51 uses our phosphorodiamidate morpholino oligomer (“PMO”) chemistry and exon-skipping technology to skip exon 51 of the dystrophin gene.</w:t>
      </w:r>
    </w:p>
    <w:p>
      <w:pPr>
        <w:spacing w:after="0" w:line="39" w:lineRule="exact"/>
        <w:rPr>
          <w:rFonts w:ascii="Arial" w:cs="Arial" w:eastAsia="Arial" w:hAnsi="Arial"/>
          <w:sz w:val="16"/>
          <w:szCs w:val="16"/>
          <w:color w:val="auto"/>
        </w:rPr>
      </w:pPr>
    </w:p>
    <w:p>
      <w:pPr>
        <w:ind w:left="1260" w:right="140" w:hanging="503"/>
        <w:spacing w:after="0" w:line="248"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VYONDYS 53 (golodirsen) Injection (“VYONDYS 53”), approved by the FDA on December 12, 2019, is indicated for the treatment of Duchenne in patients who have a confirmed mutation of the dystrophin gene that is amenable to exon 53 skipping. VYONDYS 53 uses our PMO chemistry and exon-skipping technology to skip exon 53 of the dystrophin gene.</w:t>
      </w:r>
    </w:p>
    <w:p>
      <w:pPr>
        <w:spacing w:after="0" w:line="73" w:lineRule="exact"/>
        <w:rPr>
          <w:rFonts w:ascii="Arial" w:cs="Arial" w:eastAsia="Arial" w:hAnsi="Arial"/>
          <w:sz w:val="18"/>
          <w:szCs w:val="18"/>
          <w:color w:val="auto"/>
        </w:rPr>
      </w:pPr>
    </w:p>
    <w:p>
      <w:pPr>
        <w:ind w:left="1260" w:right="120" w:hanging="503"/>
        <w:spacing w:after="0" w:line="248"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AMONDYS 45 (casimersen) Injection (“AMONDYS 45”), approved by the FDA on February 25, 2021, is indicated for the treatment of Duchenne in patients who have a confirmed mutation of the dystrophin gene that is amenable to exon 45 skipping. AMONDYS 45 uses our PMO chemistry and exon-skipping technology to skip exon 45 of the dystrophin gene.</w:t>
      </w:r>
    </w:p>
    <w:p>
      <w:pPr>
        <w:spacing w:after="0" w:line="60"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are in the process of conducting various EXONDYS 51, VYONDYS 53 and AMONDYS 45 clinical trials, including studies that are required to comply with our post-marketing FDA requirements/commitments to verify and describe the clinical benefit of these products.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description of our key product candidates, including those in collaboration with our strategic partners, is as follows:</w:t>
      </w:r>
    </w:p>
    <w:p>
      <w:pPr>
        <w:spacing w:after="0" w:line="77" w:lineRule="exact"/>
        <w:rPr>
          <w:sz w:val="20"/>
          <w:szCs w:val="20"/>
          <w:color w:val="auto"/>
        </w:rPr>
      </w:pPr>
    </w:p>
    <w:p>
      <w:pPr>
        <w:ind w:left="1260" w:right="20" w:hanging="503"/>
        <w:spacing w:after="0" w:line="223" w:lineRule="auto"/>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SRP-5051 </w:t>
      </w:r>
      <w:r>
        <w:rPr>
          <w:rFonts w:ascii="Arial" w:cs="Arial" w:eastAsia="Arial" w:hAnsi="Arial"/>
          <w:sz w:val="17"/>
          <w:szCs w:val="17"/>
          <w:color w:val="auto"/>
        </w:rPr>
        <w:t>uses our next-generation chemistry platform, PPMO, and our exon-skipping technology to skip exon 51 of the dystrophin gene.</w:t>
      </w:r>
      <w:r>
        <w:rPr>
          <w:rFonts w:ascii="Arial" w:cs="Arial" w:eastAsia="Arial" w:hAnsi="Arial"/>
          <w:sz w:val="17"/>
          <w:szCs w:val="17"/>
          <w:i w:val="1"/>
          <w:iCs w:val="1"/>
          <w:color w:val="auto"/>
        </w:rPr>
        <w:t xml:space="preserve"> </w:t>
      </w:r>
      <w:r>
        <w:rPr>
          <w:rFonts w:ascii="Arial" w:cs="Arial" w:eastAsia="Arial" w:hAnsi="Arial"/>
          <w:sz w:val="17"/>
          <w:szCs w:val="17"/>
          <w:color w:val="auto"/>
        </w:rPr>
        <w:t>SRP-5051, a peptide conjugated PMO, is designed to bind to exon 51 of dystrophin pre-mRNA, resulting in exclusion of this exon during mRNA processing in patients with genetic mutations that are amenable to exon 51 skipping. Exon skipping is intended to promote the production of an internally truncated but functional dystrophin protein. In the fourth quarter of 2017, we commenced a first-in-human, single ascending dose, study for the treatment of Duchenne in patients who are amenable to exon 51 skipping. In 2019, we commenced Study 5051-201. In December 2020, we announced an interim analysis on clinical results from the 10 mg/kg and 20 mg/kg dose cohorts of Part A of Study 5051-201. In May 2021, we announced results from the 30 mg/kg cohort of Part A of Study 5051-201. We initiated Part B of Study 5051-201 in the fourth quarter of 2021 and are currently enrolling patients.</w:t>
      </w:r>
    </w:p>
    <w:p>
      <w:pPr>
        <w:spacing w:after="0" w:line="58" w:lineRule="exact"/>
        <w:rPr>
          <w:rFonts w:ascii="Arial" w:cs="Arial" w:eastAsia="Arial" w:hAnsi="Arial"/>
          <w:sz w:val="17"/>
          <w:szCs w:val="17"/>
          <w:color w:val="auto"/>
        </w:rPr>
      </w:pPr>
    </w:p>
    <w:p>
      <w:pPr>
        <w:ind w:left="1260" w:right="100" w:hanging="503"/>
        <w:spacing w:after="0" w:line="219"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SRP-9001 (Duchenne, micro-dystrophin gene therapy program)</w:t>
      </w:r>
      <w:r>
        <w:rPr>
          <w:rFonts w:ascii="Arial" w:cs="Arial" w:eastAsia="Arial" w:hAnsi="Arial"/>
          <w:sz w:val="18"/>
          <w:szCs w:val="18"/>
          <w:color w:val="auto"/>
        </w:rPr>
        <w:t>, aims to express micro-dystrophin – a smaller but still functional 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dystrophin. A unique, engineered micro-dystrophin is used because naturally-occurring dystrophin is too large to fit in an AAV vector. In the fourth quarter of 2017, an IND application for the micro-dystrophin gene therapy program was cleared by the FDA, and a Phase 1/2a clinical trial in individuals with Duchenne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3" w:name="page74"/>
    <w:bookmarkEnd w:id="73"/>
    <w:p>
      <w:pPr>
        <w:ind w:left="1260" w:right="20"/>
        <w:spacing w:after="0" w:line="234" w:lineRule="auto"/>
        <w:rPr>
          <w:sz w:val="20"/>
          <w:szCs w:val="20"/>
          <w:color w:val="auto"/>
        </w:rPr>
      </w:pPr>
      <w:r>
        <w:rPr>
          <w:rFonts w:ascii="Arial" w:cs="Arial" w:eastAsia="Arial" w:hAnsi="Arial"/>
          <w:sz w:val="16"/>
          <w:szCs w:val="16"/>
          <w:color w:val="auto"/>
        </w:rPr>
        <w:t>was initiated (Study 101). In October 2018, Nationwide presented results from the Phase 1/2a clinical trial in four individuals with Duchenne enrolled in the trial. In March 2019, we presented nine-month functional and creatine kinase (“CK”) data from baseline from these four individuals, and twelve-month CK data from baseline from one of these individuals. In June 2020, we announced that functional, safety and tolerability data at twelve-months from baseline from these four individuals had been published in JAMA Neurology. In September 2020, we presented functional, safety and tolerability data at 24 months from these four individuals. In the fourth quarter of 2018, we commenced a randomized, double-blind, placebo-controlled trial of SRP-9001 with the goal to establish the functional benefits of micro-dystrophin expressions (Study 102). In January 2021, we released top-line results for Part 1 of Study 102 (the 48-week assessment of 41 participants) and interim expression results from Part 2 of Study 102 (the crossover phase). We announced topline results for Part 2 of Study 102 in January 2022. We have completed dosing in the first cohort in Study 103, an open-label study evaluating the safety and expression of commercially representative material for SRP -9001. In May 2021, we announced 12-week expression and safety results from the first 11 participants enrolled in Study 103. In October 2021, we announced functional data from the first 11 patients and tolerability data for all 32 patients enrolled in Study 103. We also initiated our pivotal trial (Study 301) in October 2021 and are currently enrolling patients. We expect to announce additional data for SRP-9001 in 2022.</w:t>
      </w:r>
    </w:p>
    <w:p>
      <w:pPr>
        <w:spacing w:after="0" w:line="57" w:lineRule="exact"/>
        <w:rPr>
          <w:sz w:val="20"/>
          <w:szCs w:val="20"/>
          <w:color w:val="auto"/>
        </w:rPr>
      </w:pPr>
    </w:p>
    <w:p>
      <w:pPr>
        <w:ind w:left="1260" w:right="20" w:hanging="503"/>
        <w:spacing w:after="0" w:line="252"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SRP-9003 (LGMD, gene therapy program)</w:t>
      </w:r>
      <w:r>
        <w:rPr>
          <w:rFonts w:ascii="Arial" w:cs="Arial" w:eastAsia="Arial" w:hAnsi="Arial"/>
          <w:sz w:val="16"/>
          <w:szCs w:val="16"/>
          <w:color w:val="auto"/>
        </w:rPr>
        <w:t>. We are developing gene therapy programs for various forms of LGMDs. The most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of our LGMD product candidates, SRP-9003, is designed to transfer a gene that codes for and restores beta-sarcoglycan protein with the goal of restoring the dystrophin associated protein complex. It utilizes the AAVrh.74 vector system, the same vector used in the micro-dystrophin gene therapy program we are developing with Nationwide. A Phase 1/2a trial of SRP-9003 was commenced in the fourth quarter of 2018. In February 2019, we announced positive two-month biopsy data from the first three-patient low-dose cohort dosed in the SRP-9003 trial, and in October 2019, we announced positive nine-month functional data from these three patients. We have recently dosed one additional cohort of three patients at a higher dose per the study protocol. In June 2020, we announced safety and expression results from three clinical trial participants in the high-dose cohort measured at 60 days, and one-year functional data from three clinical trial participants in the low-dose cohort. In September 2020, we announced six-month functional data from three clinical trial participants in the high-dose cohort, and eighteen-month functional data from three clinical trial participants in the low-dose cohort. We expect to complete GMP runs for SRP-9003 in 2022. We also plan to meet with the FDA in 2022 to discuss our pivotal trial.</w:t>
      </w:r>
    </w:p>
    <w:p>
      <w:pPr>
        <w:spacing w:after="0" w:line="170"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Our pipeline includes more than 40 programs in various stages of pre-clinical and clinical development, reflecting our multifaceted approach and expertise in precision genetic medicine to make a profound difference in the lives of patients suffering from rare diseases.</w:t>
      </w:r>
    </w:p>
    <w:p>
      <w:pPr>
        <w:spacing w:after="0" w:line="170" w:lineRule="exact"/>
        <w:rPr>
          <w:sz w:val="20"/>
          <w:szCs w:val="20"/>
          <w:color w:val="auto"/>
        </w:rPr>
      </w:pPr>
    </w:p>
    <w:p>
      <w:pPr>
        <w:ind w:right="80" w:firstLine="749"/>
        <w:spacing w:after="0" w:line="239" w:lineRule="auto"/>
        <w:rPr>
          <w:sz w:val="20"/>
          <w:szCs w:val="20"/>
          <w:color w:val="auto"/>
        </w:rPr>
      </w:pPr>
      <w:r>
        <w:rPr>
          <w:rFonts w:ascii="Arial" w:cs="Arial" w:eastAsia="Arial" w:hAnsi="Arial"/>
          <w:sz w:val="17"/>
          <w:szCs w:val="17"/>
          <w:color w:val="auto"/>
        </w:rPr>
        <w:t>We have developed proprietary state-of-the-art CMC and manufacturing capabilities that allow synthesis and purification of our products and product candidates to support both clinical development as well as commercialization. Our current main focus in manufacturing is to continue scaling up production of our PMO-based therapies and optimizing manufacturing for PPMO and gene therapy-based product candidates. We have entered into certain manufacturing and supply arrangements with third-party suppliers and will utilize these capabilities to support production of certain of our products and product candidates and their components. In 2017, we opened a facility in Andover, Massachusetts, which significantly enhanced our research and development manufacturing capabilities. However, we currently do not have internal large scale GMP manufacturing capabilities to produce our products and product candidates for commercial and/or clinical use.</w:t>
      </w:r>
    </w:p>
    <w:p>
      <w:pPr>
        <w:spacing w:after="0" w:line="176" w:lineRule="exact"/>
        <w:rPr>
          <w:sz w:val="20"/>
          <w:szCs w:val="20"/>
          <w:color w:val="auto"/>
        </w:rPr>
      </w:pPr>
    </w:p>
    <w:p>
      <w:pPr>
        <w:ind w:right="260" w:firstLine="749"/>
        <w:spacing w:after="0" w:line="235" w:lineRule="auto"/>
        <w:rPr>
          <w:sz w:val="20"/>
          <w:szCs w:val="20"/>
          <w:color w:val="auto"/>
        </w:rPr>
      </w:pPr>
      <w:r>
        <w:rPr>
          <w:rFonts w:ascii="Arial" w:cs="Arial" w:eastAsia="Arial" w:hAnsi="Arial"/>
          <w:sz w:val="18"/>
          <w:szCs w:val="18"/>
          <w:color w:val="auto"/>
        </w:rPr>
        <w:t>The likelihood of our long-term success must be considered in light of the expenses, difficulties and delays frequently encountered in the development and commercialization of new pharmaceutical products, competitive factors in the marketplace and the complex regulatory environment in which we operate. We may never achieve significant revenue or profitable operations.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98" w:lineRule="exact"/>
        <w:rPr>
          <w:sz w:val="20"/>
          <w:szCs w:val="20"/>
          <w:color w:val="auto"/>
        </w:rPr>
      </w:pPr>
    </w:p>
    <w:p>
      <w:pPr>
        <w:ind w:right="480" w:firstLine="749"/>
        <w:spacing w:after="0" w:line="307" w:lineRule="auto"/>
        <w:rPr>
          <w:sz w:val="20"/>
          <w:szCs w:val="20"/>
          <w:color w:val="auto"/>
        </w:rPr>
      </w:pPr>
      <w:r>
        <w:rPr>
          <w:rFonts w:ascii="Arial" w:cs="Arial" w:eastAsia="Arial" w:hAnsi="Arial"/>
          <w:sz w:val="16"/>
          <w:szCs w:val="16"/>
          <w:color w:val="auto"/>
        </w:rPr>
        <w:t>The COVID-19 pandemic has presented a substantial public health and economic challenge around the world. Our business operations and financial condition and results have been impacted to varying degrees, and we expect the impact will continue in future quarters.</w:t>
      </w:r>
    </w:p>
    <w:p>
      <w:pPr>
        <w:spacing w:after="0" w:line="123" w:lineRule="exact"/>
        <w:rPr>
          <w:sz w:val="20"/>
          <w:szCs w:val="20"/>
          <w:color w:val="auto"/>
        </w:rPr>
      </w:pPr>
    </w:p>
    <w:p>
      <w:pPr>
        <w:ind w:firstLine="749"/>
        <w:spacing w:after="0" w:line="225" w:lineRule="auto"/>
        <w:rPr>
          <w:sz w:val="20"/>
          <w:szCs w:val="20"/>
          <w:color w:val="auto"/>
        </w:rPr>
      </w:pPr>
      <w:r>
        <w:rPr>
          <w:rFonts w:ascii="Arial" w:cs="Arial" w:eastAsia="Arial" w:hAnsi="Arial"/>
          <w:sz w:val="18"/>
          <w:szCs w:val="18"/>
          <w:color w:val="auto"/>
        </w:rPr>
        <w:t>We are continuing to assess the potential impact of the COVID-19 pandemic on our business, operations and financial condition and results. Despite careful tracking and planning, however, we are unable to accurately predict the extent of the impact of the pandemic on our business, results of operations and financial condition due to the uncertainty of future developments.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For additional information on the various risks posed by the COVID-19 pandemic, refer to Part I, Item 1A. Risk Factors of this Annual Report on Form 10-K.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firstLine="749"/>
        <w:spacing w:after="0" w:line="237"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included elsewhere in this Annual Report on Form 10-K. The preparation of our consolidated financial statements in accordance with accounting principles generally accepted in the U.S. requires us to make estimates and judgments that affect the reported amounts of assets, liabilities, revenues and expenses and related disclosure of contingent assets and liabilities for the periods presented. Some of these judgments can be subjective and complex, and, consequently, actual results may differ from these estimates. We believe that the estimates and judgments upon which we rely are reasonable based upon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 We believe the following accounting policies to be most critical to the judgments and estimates used in the preparation of our consolidated financial statements:</w:t>
      </w:r>
    </w:p>
    <w:p>
      <w:pPr>
        <w:spacing w:after="0" w:line="85" w:lineRule="exact"/>
        <w:rPr>
          <w:sz w:val="20"/>
          <w:szCs w:val="20"/>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inventory;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income tax.</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77" w:lineRule="exact"/>
        <w:rPr>
          <w:sz w:val="20"/>
          <w:szCs w:val="20"/>
          <w:color w:val="auto"/>
        </w:rPr>
      </w:pPr>
    </w:p>
    <w:p>
      <w:pPr>
        <w:jc w:val="both"/>
        <w:ind w:right="20" w:firstLine="749"/>
        <w:spacing w:after="0" w:line="249" w:lineRule="auto"/>
        <w:rPr>
          <w:sz w:val="20"/>
          <w:szCs w:val="20"/>
          <w:color w:val="auto"/>
        </w:rPr>
      </w:pPr>
      <w:r>
        <w:rPr>
          <w:rFonts w:ascii="Arial" w:cs="Arial" w:eastAsia="Arial" w:hAnsi="Arial"/>
          <w:sz w:val="16"/>
          <w:szCs w:val="16"/>
          <w:color w:val="auto"/>
        </w:rPr>
        <w:t>Inventories are stated at the lower of cost and net realizable value with cost determined on a first-in, first-out basis. We capitalize inventory costs associated with products following regulatory approval when future commercialization is considered probable and the future economic benefit is expected to be realized. EXONDYS 51, VYONDYS 53 and AMONDYS 45 inventory that may be used in clinical development programs is charged to research and development expense when the product enters the research and development process and no longer can be used for commercial purposes.</w:t>
      </w:r>
    </w:p>
    <w:p>
      <w:pPr>
        <w:spacing w:after="0" w:line="154" w:lineRule="exact"/>
        <w:rPr>
          <w:sz w:val="20"/>
          <w:szCs w:val="20"/>
          <w:color w:val="auto"/>
        </w:rPr>
      </w:pPr>
    </w:p>
    <w:p>
      <w:pPr>
        <w:jc w:val="both"/>
        <w:ind w:right="80" w:firstLine="749"/>
        <w:spacing w:after="0" w:line="228" w:lineRule="auto"/>
        <w:rPr>
          <w:sz w:val="20"/>
          <w:szCs w:val="20"/>
          <w:color w:val="auto"/>
        </w:rPr>
      </w:pPr>
      <w:r>
        <w:rPr>
          <w:rFonts w:ascii="Arial" w:cs="Arial" w:eastAsia="Arial" w:hAnsi="Arial"/>
          <w:sz w:val="17"/>
          <w:szCs w:val="17"/>
          <w:color w:val="auto"/>
        </w:rPr>
        <w:t>We periodically analyze our inventories for excess amounts or obsolescence and write down obsolete or otherwise unmarketable inventory to its estimated net realizable value based on assumptions about expected future demand and market conditions. Additionally, though our products are subject to strict quality control and monitoring, which we perform throughout the manufacturing processes, certain batches or units of product may not meet quality specifications. Expense incurred related to excess inventory, obsolete inventory, or inventories that do not meet our quality specifications are recorded as a component of cost of sales in the consolidated statement of operations.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w:t>
      </w:r>
    </w:p>
    <w:p>
      <w:pPr>
        <w:spacing w:after="0" w:line="185" w:lineRule="exact"/>
        <w:rPr>
          <w:sz w:val="20"/>
          <w:szCs w:val="20"/>
          <w:color w:val="auto"/>
        </w:rPr>
      </w:pPr>
    </w:p>
    <w:p>
      <w:pPr>
        <w:ind w:firstLine="749"/>
        <w:spacing w:after="0" w:line="226" w:lineRule="auto"/>
        <w:rPr>
          <w:sz w:val="20"/>
          <w:szCs w:val="20"/>
          <w:color w:val="auto"/>
        </w:rPr>
      </w:pPr>
      <w:r>
        <w:rPr>
          <w:rFonts w:ascii="Arial" w:cs="Arial" w:eastAsia="Arial" w:hAnsi="Arial"/>
          <w:sz w:val="17"/>
          <w:szCs w:val="17"/>
          <w:color w:val="auto"/>
        </w:rPr>
        <w:t>We recognize the effect of income tax positions only if those positions are more likely than not of being sustained upon an examination. The calculation of our tax liabilities resulting from uncertain tax positions can involve significant judgment. Further, the calculation may involve the application of complex tax regulations in a foreign jurisdiction. Any significant impact as a result of changes in underlying facts, law, tax rates, tax audit, or review could lead to adjustments to our income tax expense, our effective tax rate, and/or our cash flow. Although we believe that we have adequately provided for tax liabilities resulting from uncertain tax positions, the actual amounts paid, if any, could have a material impact on our results of operations. Interest and penalties associated with uncertain tax positions are classified as a component of income tax expense.</w:t>
      </w:r>
    </w:p>
    <w:p>
      <w:pPr>
        <w:spacing w:after="0" w:line="165" w:lineRule="exact"/>
        <w:rPr>
          <w:sz w:val="20"/>
          <w:szCs w:val="20"/>
          <w:color w:val="auto"/>
        </w:rPr>
      </w:pPr>
    </w:p>
    <w:p>
      <w:pPr>
        <w:ind w:right="20" w:firstLine="749"/>
        <w:spacing w:after="0" w:line="274" w:lineRule="auto"/>
        <w:rPr>
          <w:sz w:val="20"/>
          <w:szCs w:val="20"/>
          <w:color w:val="auto"/>
        </w:rPr>
      </w:pPr>
      <w:r>
        <w:rPr>
          <w:rFonts w:ascii="Arial" w:cs="Arial" w:eastAsia="Arial" w:hAnsi="Arial"/>
          <w:sz w:val="17"/>
          <w:szCs w:val="17"/>
          <w:color w:val="auto"/>
        </w:rPr>
        <w:t xml:space="preserve">Please read </w:t>
      </w:r>
      <w:r>
        <w:rPr>
          <w:rFonts w:ascii="Arial" w:cs="Arial" w:eastAsia="Arial" w:hAnsi="Arial"/>
          <w:sz w:val="17"/>
          <w:szCs w:val="17"/>
          <w:i w:val="1"/>
          <w:iCs w:val="1"/>
          <w:color w:val="auto"/>
        </w:rPr>
        <w:t>Note 2, Summary of Significant Accounting Policies and Recent Accounting Pronouncements</w:t>
      </w:r>
      <w:r>
        <w:rPr>
          <w:rFonts w:ascii="Arial" w:cs="Arial" w:eastAsia="Arial" w:hAnsi="Arial"/>
          <w:sz w:val="17"/>
          <w:szCs w:val="17"/>
          <w:color w:val="auto"/>
        </w:rPr>
        <w:t xml:space="preserve"> to the consolidated financial statements included elsewhere in this Annual Report on Form 10-K for a further discussion of our critical accounting policies and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4" w:right="359" w:bottom="1440" w:gutter="0" w:footer="0" w:header="0"/>
        </w:sectPr>
      </w:pPr>
    </w:p>
    <w:bookmarkStart w:id="75" w:name="page76"/>
    <w:bookmarkEnd w:id="75"/>
    <w:p>
      <w:pPr>
        <w:ind w:left="76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84"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4"/>
              </w:rPr>
              <w:t>For the 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2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except per</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64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0"/>
              </w:rPr>
              <w:t>share amounts)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Products, net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612,401</w:t>
            </w:r>
          </w:p>
        </w:tc>
        <w:tc>
          <w:tcPr>
            <w:tcW w:w="240" w:type="dxa"/>
            <w:vAlign w:val="bottom"/>
          </w:tcPr>
          <w:p>
            <w:pPr>
              <w:spacing w:after="0"/>
              <w:rPr>
                <w:sz w:val="17"/>
                <w:szCs w:val="17"/>
                <w:color w:val="auto"/>
              </w:rPr>
            </w:pPr>
          </w:p>
        </w:tc>
        <w:tc>
          <w:tcPr>
            <w:tcW w:w="3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455,865</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156,536</w:t>
            </w:r>
          </w:p>
        </w:tc>
        <w:tc>
          <w:tcPr>
            <w:tcW w:w="220" w:type="dxa"/>
            <w:vAlign w:val="bottom"/>
          </w:tcPr>
          <w:p>
            <w:pPr>
              <w:spacing w:after="0"/>
              <w:rPr>
                <w:sz w:val="17"/>
                <w:szCs w:val="17"/>
                <w:color w:val="auto"/>
              </w:rPr>
            </w:pPr>
          </w:p>
        </w:tc>
        <w:tc>
          <w:tcPr>
            <w:tcW w:w="9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Collaboration and other</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89,486</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84,234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5,252</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701,887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540,099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161,788</w:t>
            </w:r>
          </w:p>
        </w:tc>
        <w:tc>
          <w:tcPr>
            <w:tcW w:w="220" w:type="dxa"/>
            <w:vAlign w:val="bottom"/>
          </w:tcPr>
          <w:p>
            <w:pPr>
              <w:spacing w:after="0"/>
              <w:rPr>
                <w:sz w:val="17"/>
                <w:szCs w:val="17"/>
                <w:color w:val="auto"/>
              </w:rPr>
            </w:pPr>
          </w:p>
        </w:tc>
        <w:tc>
          <w:tcPr>
            <w:tcW w:w="9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52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Cost of sales (excluding amortization of in-licensed</w:t>
            </w:r>
          </w:p>
        </w:tc>
        <w:tc>
          <w:tcPr>
            <w:tcW w:w="26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97,049</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63,382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33,667</w:t>
            </w:r>
          </w:p>
        </w:tc>
        <w:tc>
          <w:tcPr>
            <w:tcW w:w="22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rights)</w:t>
            </w:r>
          </w:p>
        </w:tc>
        <w:tc>
          <w:tcPr>
            <w:tcW w:w="26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771,182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722,343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48,839</w:t>
            </w:r>
          </w:p>
        </w:tc>
        <w:tc>
          <w:tcPr>
            <w:tcW w:w="220" w:type="dxa"/>
            <w:vAlign w:val="bottom"/>
          </w:tcPr>
          <w:p>
            <w:pPr>
              <w:spacing w:after="0"/>
              <w:rPr>
                <w:sz w:val="17"/>
                <w:szCs w:val="17"/>
                <w:color w:val="auto"/>
              </w:rPr>
            </w:pPr>
          </w:p>
        </w:tc>
        <w:tc>
          <w:tcPr>
            <w:tcW w:w="9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282,660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317,875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(35,215 )</w:t>
            </w:r>
          </w:p>
        </w:tc>
        <w:tc>
          <w:tcPr>
            <w:tcW w:w="9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Settlement and license charges</w:t>
            </w: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20" w:type="dxa"/>
            <w:vAlign w:val="bottom"/>
          </w:tcPr>
          <w:p>
            <w:pPr>
              <w:spacing w:after="0"/>
              <w:rPr>
                <w:sz w:val="17"/>
                <w:szCs w:val="17"/>
                <w:color w:val="auto"/>
              </w:rPr>
            </w:pPr>
          </w:p>
        </w:tc>
        <w:tc>
          <w:tcPr>
            <w:tcW w:w="9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Amortization of in-licensed rights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706</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color w:val="auto"/>
              </w:rPr>
              <w:t>Total cost and expenses</w:t>
            </w:r>
          </w:p>
        </w:tc>
        <w:tc>
          <w:tcPr>
            <w:tcW w:w="2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1,161,597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1,104,262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57,335</w:t>
            </w:r>
          </w:p>
        </w:tc>
        <w:tc>
          <w:tcPr>
            <w:tcW w:w="220" w:type="dxa"/>
            <w:vAlign w:val="bottom"/>
          </w:tcPr>
          <w:p>
            <w:pPr>
              <w:spacing w:after="0"/>
              <w:rPr>
                <w:sz w:val="17"/>
                <w:szCs w:val="17"/>
                <w:color w:val="auto"/>
              </w:rPr>
            </w:pPr>
          </w:p>
        </w:tc>
        <w:tc>
          <w:tcPr>
            <w:tcW w:w="9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loss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(459,710</w:t>
            </w:r>
          </w:p>
        </w:tc>
        <w:tc>
          <w:tcPr>
            <w:tcW w:w="240" w:type="dxa"/>
            <w:vAlign w:val="bottom"/>
            <w:tcBorders>
              <w:bottom w:val="single" w:sz="8" w:color="CFF0FC"/>
            </w:tcBorders>
            <w:shd w:val="clear" w:color="auto" w:fill="CFF0FC"/>
          </w:tcPr>
          <w:p>
            <w:pPr>
              <w:jc w:val="center"/>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(564,163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104,453</w:t>
            </w: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34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Gain from sale of Priority Review Voucher</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102,000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108,069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(6,069 )</w:t>
            </w:r>
          </w:p>
        </w:tc>
        <w:tc>
          <w:tcPr>
            <w:tcW w:w="9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Gain (loss) on contingent consideration, net</w:t>
            </w: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7,200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(45,000 )</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52,200</w:t>
            </w:r>
          </w:p>
        </w:tc>
        <w:tc>
          <w:tcPr>
            <w:tcW w:w="220" w:type="dxa"/>
            <w:vAlign w:val="bottom"/>
          </w:tcPr>
          <w:p>
            <w:pPr>
              <w:spacing w:after="0"/>
              <w:rPr>
                <w:sz w:val="17"/>
                <w:szCs w:val="17"/>
                <w:color w:val="auto"/>
              </w:rPr>
            </w:pP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(68,438 )</w:t>
            </w:r>
          </w:p>
        </w:tc>
        <w:tc>
          <w:tcPr>
            <w:tcW w:w="3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(51,971 )</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(16,467 )</w:t>
            </w:r>
          </w:p>
        </w:tc>
        <w:tc>
          <w:tcPr>
            <w:tcW w:w="9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40,762</w:t>
            </w: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11,098</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29,664</w:t>
            </w:r>
          </w:p>
        </w:tc>
        <w:tc>
          <w:tcPr>
            <w:tcW w:w="220" w:type="dxa"/>
            <w:vAlign w:val="bottom"/>
            <w:tcBorders>
              <w:top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ind w:left="260"/>
              <w:spacing w:after="0" w:line="196" w:lineRule="exact"/>
              <w:rPr>
                <w:sz w:val="20"/>
                <w:szCs w:val="20"/>
                <w:color w:val="auto"/>
              </w:rPr>
            </w:pPr>
            <w:r>
              <w:rPr>
                <w:rFonts w:ascii="Arial" w:cs="Arial" w:eastAsia="Arial" w:hAnsi="Arial"/>
                <w:sz w:val="18"/>
                <w:szCs w:val="18"/>
                <w:color w:val="auto"/>
              </w:rPr>
              <w:t>NM*</w:t>
            </w:r>
          </w:p>
        </w:tc>
        <w:tc>
          <w:tcPr>
            <w:tcW w:w="3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color w:val="auto"/>
              </w:rPr>
              <w:t>Loss before income tax (benefit) expense</w:t>
            </w:r>
          </w:p>
        </w:tc>
        <w:tc>
          <w:tcPr>
            <w:tcW w:w="260" w:type="dxa"/>
            <w:vAlign w:val="bottom"/>
          </w:tcPr>
          <w:p>
            <w:pPr>
              <w:spacing w:after="0"/>
              <w:rPr>
                <w:sz w:val="17"/>
                <w:szCs w:val="17"/>
                <w:color w:val="auto"/>
              </w:rPr>
            </w:pPr>
          </w:p>
        </w:tc>
        <w:tc>
          <w:tcPr>
            <w:tcW w:w="14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(418,948 )</w:t>
            </w:r>
          </w:p>
        </w:tc>
        <w:tc>
          <w:tcPr>
            <w:tcW w:w="380" w:type="dxa"/>
            <w:vAlign w:val="bottom"/>
          </w:tcPr>
          <w:p>
            <w:pPr>
              <w:spacing w:after="0"/>
              <w:rPr>
                <w:sz w:val="17"/>
                <w:szCs w:val="17"/>
                <w:color w:val="auto"/>
              </w:rPr>
            </w:pP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(553,065 )</w:t>
            </w:r>
          </w:p>
        </w:tc>
        <w:tc>
          <w:tcPr>
            <w:tcW w:w="2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134,117</w:t>
            </w:r>
          </w:p>
        </w:tc>
        <w:tc>
          <w:tcPr>
            <w:tcW w:w="220" w:type="dxa"/>
            <w:vAlign w:val="bottom"/>
          </w:tcPr>
          <w:p>
            <w:pPr>
              <w:spacing w:after="0"/>
              <w:rPr>
                <w:sz w:val="17"/>
                <w:szCs w:val="17"/>
                <w:color w:val="auto"/>
              </w:rPr>
            </w:pPr>
          </w:p>
        </w:tc>
        <w:tc>
          <w:tcPr>
            <w:tcW w:w="9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tax (benefit) expense</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w:t>
            </w:r>
          </w:p>
        </w:tc>
        <w:tc>
          <w:tcPr>
            <w:tcW w:w="240" w:type="dxa"/>
            <w:vAlign w:val="bottom"/>
            <w:tcBorders>
              <w:bottom w:val="single" w:sz="8" w:color="CFF0FC"/>
            </w:tcBorders>
            <w:shd w:val="clear" w:color="auto" w:fill="CFF0FC"/>
          </w:tcPr>
          <w:p>
            <w:pPr>
              <w:jc w:val="center"/>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(1,231</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w:t>
            </w:r>
          </w:p>
        </w:tc>
        <w:tc>
          <w:tcPr>
            <w:tcW w:w="34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(418,780 )</w:t>
            </w:r>
          </w:p>
        </w:tc>
        <w:tc>
          <w:tcPr>
            <w:tcW w:w="38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(554,128 )</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135,348</w:t>
            </w:r>
          </w:p>
        </w:tc>
        <w:tc>
          <w:tcPr>
            <w:tcW w:w="220" w:type="dxa"/>
            <w:vAlign w:val="bottom"/>
          </w:tcPr>
          <w:p>
            <w:pPr>
              <w:spacing w:after="0"/>
              <w:rPr>
                <w:sz w:val="17"/>
                <w:szCs w:val="17"/>
                <w:color w:val="auto"/>
              </w:rPr>
            </w:pPr>
          </w:p>
        </w:tc>
        <w:tc>
          <w:tcPr>
            <w:tcW w:w="98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(5.15 )</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(7.11 )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431"/>
        </w:trPr>
        <w:tc>
          <w:tcPr>
            <w:tcW w:w="4580" w:type="dxa"/>
            <w:vAlign w:val="bottom"/>
            <w:gridSpan w:val="2"/>
          </w:tcPr>
          <w:p>
            <w:pPr>
              <w:spacing w:after="0"/>
              <w:rPr>
                <w:sz w:val="20"/>
                <w:szCs w:val="20"/>
                <w:color w:val="auto"/>
              </w:rPr>
            </w:pPr>
            <w:r>
              <w:rPr>
                <w:rFonts w:ascii="Arial" w:cs="Arial" w:eastAsia="Arial" w:hAnsi="Arial"/>
                <w:sz w:val="18"/>
                <w:szCs w:val="18"/>
                <w:color w:val="auto"/>
              </w:rPr>
              <w:t>* NM: not meaningful</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-3211195</wp:posOffset>
            </wp:positionV>
            <wp:extent cx="603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-3211195</wp:posOffset>
            </wp:positionV>
            <wp:extent cx="5969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-3211195</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-3211195</wp:posOffset>
            </wp:positionV>
            <wp:extent cx="2057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-2053590</wp:posOffset>
            </wp:positionV>
            <wp:extent cx="603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-2053590</wp:posOffset>
            </wp:positionV>
            <wp:extent cx="596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-2053590</wp:posOffset>
            </wp:positionV>
            <wp:extent cx="51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-2053590</wp:posOffset>
            </wp:positionV>
            <wp:extent cx="2057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-1779270</wp:posOffset>
            </wp:positionV>
            <wp:extent cx="603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-1779270</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-1779270</wp:posOffset>
            </wp:positionV>
            <wp:extent cx="514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-1779270</wp:posOffset>
            </wp:positionV>
            <wp:extent cx="2057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-1256665</wp:posOffset>
            </wp:positionV>
            <wp:extent cx="603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-1256665</wp:posOffset>
            </wp:positionV>
            <wp:extent cx="596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-1256665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-1256665</wp:posOffset>
            </wp:positionV>
            <wp:extent cx="2057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-982345</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-982345</wp:posOffset>
            </wp:positionV>
            <wp:extent cx="5969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-982345</wp:posOffset>
            </wp:positionV>
            <wp:extent cx="514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-982345</wp:posOffset>
            </wp:positionV>
            <wp:extent cx="2057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-708025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-708025</wp:posOffset>
            </wp:positionV>
            <wp:extent cx="5969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-708025</wp:posOffset>
            </wp:positionV>
            <wp:extent cx="514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-708025</wp:posOffset>
            </wp:positionV>
            <wp:extent cx="2057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our net product revenues for the periods indicated:</w:t>
      </w:r>
    </w:p>
    <w:p>
      <w:pPr>
        <w:spacing w:after="0" w:line="284"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31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5"/>
                <w:szCs w:val="15"/>
                <w:color w:val="auto"/>
              </w:rPr>
            </w:pPr>
          </w:p>
        </w:tc>
      </w:tr>
      <w:tr>
        <w:trPr>
          <w:trHeight w:val="196"/>
        </w:trPr>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r>
      <w:tr>
        <w:trPr>
          <w:trHeight w:val="203"/>
        </w:trPr>
        <w:tc>
          <w:tcPr>
            <w:tcW w:w="3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EXONDYS 51</w:t>
            </w:r>
          </w:p>
        </w:tc>
        <w:tc>
          <w:tcPr>
            <w:tcW w:w="940" w:type="dxa"/>
            <w:vAlign w:val="bottom"/>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454,361</w:t>
            </w:r>
          </w:p>
        </w:tc>
        <w:tc>
          <w:tcPr>
            <w:tcW w:w="6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422,007</w:t>
            </w:r>
          </w:p>
        </w:tc>
        <w:tc>
          <w:tcPr>
            <w:tcW w:w="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32,354</w:t>
            </w:r>
          </w:p>
        </w:tc>
        <w:tc>
          <w:tcPr>
            <w:tcW w:w="122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8 %</w:t>
            </w:r>
          </w:p>
        </w:tc>
      </w:tr>
      <w:tr>
        <w:trPr>
          <w:trHeight w:val="203"/>
        </w:trPr>
        <w:tc>
          <w:tcPr>
            <w:tcW w:w="3120" w:type="dxa"/>
            <w:vAlign w:val="bottom"/>
          </w:tcPr>
          <w:p>
            <w:pPr>
              <w:ind w:left="200"/>
              <w:spacing w:after="0" w:line="202" w:lineRule="exact"/>
              <w:rPr>
                <w:sz w:val="20"/>
                <w:szCs w:val="20"/>
                <w:color w:val="auto"/>
              </w:rPr>
            </w:pPr>
            <w:r>
              <w:rPr>
                <w:rFonts w:ascii="Arial" w:cs="Arial" w:eastAsia="Arial" w:hAnsi="Arial"/>
                <w:sz w:val="18"/>
                <w:szCs w:val="18"/>
                <w:color w:val="auto"/>
              </w:rPr>
              <w:t>VYONDYS 53</w:t>
            </w:r>
          </w:p>
        </w:tc>
        <w:tc>
          <w:tcPr>
            <w:tcW w:w="9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89,511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33,858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55,653</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164 %</w:t>
            </w:r>
          </w:p>
        </w:tc>
      </w:tr>
      <w:tr>
        <w:trPr>
          <w:trHeight w:val="203"/>
        </w:trPr>
        <w:tc>
          <w:tcPr>
            <w:tcW w:w="31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AMONDYS 45</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68,529</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68,529</w:t>
            </w: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NM*</w:t>
            </w:r>
          </w:p>
        </w:tc>
        <w:tc>
          <w:tcPr>
            <w:tcW w:w="240" w:type="dxa"/>
            <w:vAlign w:val="bottom"/>
            <w:tcBorders>
              <w:bottom w:val="single" w:sz="8" w:color="CFF0FC"/>
            </w:tcBorders>
            <w:shd w:val="clear" w:color="auto" w:fill="CFF0FC"/>
          </w:tcPr>
          <w:p>
            <w:pPr>
              <w:spacing w:after="0"/>
              <w:rPr>
                <w:sz w:val="17"/>
                <w:szCs w:val="17"/>
                <w:color w:val="auto"/>
              </w:rPr>
            </w:pPr>
          </w:p>
        </w:tc>
      </w:tr>
      <w:tr>
        <w:trPr>
          <w:trHeight w:val="196"/>
        </w:trPr>
        <w:tc>
          <w:tcPr>
            <w:tcW w:w="3120" w:type="dxa"/>
            <w:vAlign w:val="bottom"/>
          </w:tcPr>
          <w:p>
            <w:pPr>
              <w:ind w:left="20"/>
              <w:spacing w:after="0" w:line="182" w:lineRule="exact"/>
              <w:rPr>
                <w:sz w:val="20"/>
                <w:szCs w:val="20"/>
                <w:color w:val="auto"/>
              </w:rPr>
            </w:pPr>
            <w:r>
              <w:rPr>
                <w:rFonts w:ascii="Arial" w:cs="Arial" w:eastAsia="Arial" w:hAnsi="Arial"/>
                <w:sz w:val="18"/>
                <w:szCs w:val="18"/>
                <w:color w:val="auto"/>
              </w:rPr>
              <w:t>Products, net</w:t>
            </w:r>
          </w:p>
        </w:tc>
        <w:tc>
          <w:tcPr>
            <w:tcW w:w="940" w:type="dxa"/>
            <w:vAlign w:val="bottom"/>
          </w:tcPr>
          <w:p>
            <w:pPr>
              <w:jc w:val="right"/>
              <w:ind w:right="759"/>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w w:val="89"/>
              </w:rPr>
              <w:t>612,401</w:t>
            </w:r>
          </w:p>
        </w:tc>
        <w:tc>
          <w:tcPr>
            <w:tcW w:w="62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455,865</w:t>
            </w:r>
          </w:p>
        </w:tc>
        <w:tc>
          <w:tcPr>
            <w:tcW w:w="4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156,536</w:t>
            </w:r>
          </w:p>
        </w:tc>
        <w:tc>
          <w:tcPr>
            <w:tcW w:w="1220" w:type="dxa"/>
            <w:vAlign w:val="bottom"/>
            <w:gridSpan w:val="3"/>
          </w:tcPr>
          <w:p>
            <w:pPr>
              <w:jc w:val="right"/>
              <w:ind w:right="100"/>
              <w:spacing w:after="0" w:line="182" w:lineRule="exact"/>
              <w:rPr>
                <w:sz w:val="20"/>
                <w:szCs w:val="20"/>
                <w:color w:val="auto"/>
              </w:rPr>
            </w:pPr>
            <w:r>
              <w:rPr>
                <w:rFonts w:ascii="Arial" w:cs="Arial" w:eastAsia="Arial" w:hAnsi="Arial"/>
                <w:sz w:val="18"/>
                <w:szCs w:val="18"/>
                <w:color w:val="auto"/>
              </w:rPr>
              <w:t>34 %</w:t>
            </w:r>
          </w:p>
        </w:tc>
      </w:tr>
      <w:tr>
        <w:trPr>
          <w:trHeight w:val="20"/>
        </w:trPr>
        <w:tc>
          <w:tcPr>
            <w:tcW w:w="3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-159385</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342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-159385</wp:posOffset>
            </wp:positionV>
            <wp:extent cx="1543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60" w:lineRule="exact"/>
        <w:rPr>
          <w:sz w:val="20"/>
          <w:szCs w:val="20"/>
          <w:color w:val="auto"/>
        </w:rPr>
      </w:pPr>
    </w:p>
    <w:p>
      <w:pPr>
        <w:ind w:right="400" w:firstLine="749"/>
        <w:spacing w:after="0" w:line="235" w:lineRule="auto"/>
        <w:rPr>
          <w:sz w:val="20"/>
          <w:szCs w:val="20"/>
          <w:color w:val="auto"/>
        </w:rPr>
      </w:pPr>
      <w:r>
        <w:rPr>
          <w:rFonts w:ascii="Arial" w:cs="Arial" w:eastAsia="Arial" w:hAnsi="Arial"/>
          <w:sz w:val="18"/>
          <w:szCs w:val="18"/>
          <w:color w:val="auto"/>
        </w:rPr>
        <w:t>Net product revenues for our products for 2021 increased by $156.5 million compared with 2020. The increase primarily reflects increasing demand for our products in the U.S. and the commercial launch of AMONDYS 45.</w:t>
      </w:r>
    </w:p>
    <w:p>
      <w:pPr>
        <w:spacing w:after="0" w:line="162" w:lineRule="exact"/>
        <w:rPr>
          <w:sz w:val="20"/>
          <w:szCs w:val="20"/>
          <w:color w:val="auto"/>
        </w:rPr>
      </w:pPr>
    </w:p>
    <w:p>
      <w:pPr>
        <w:ind w:right="240" w:firstLine="749"/>
        <w:spacing w:after="0" w:line="224" w:lineRule="auto"/>
        <w:rPr>
          <w:sz w:val="20"/>
          <w:szCs w:val="20"/>
          <w:color w:val="auto"/>
        </w:rPr>
      </w:pPr>
      <w:r>
        <w:rPr>
          <w:rFonts w:ascii="Arial" w:cs="Arial" w:eastAsia="Arial" w:hAnsi="Arial"/>
          <w:sz w:val="18"/>
          <w:szCs w:val="18"/>
          <w:color w:val="auto"/>
        </w:rPr>
        <w:t xml:space="preserve">Collaboration and other revenues primarily relate to our collaboration arrangement with Roche. For the years ended December 31, 2021 and December 31, 2020, we recognized $89.5 million and $84.2 million of collaboration and other revenues, respectively. For more information, please read </w:t>
      </w:r>
      <w:r>
        <w:rPr>
          <w:rFonts w:ascii="Arial" w:cs="Arial" w:eastAsia="Arial" w:hAnsi="Arial"/>
          <w:sz w:val="18"/>
          <w:szCs w:val="18"/>
          <w:i w:val="1"/>
          <w:iCs w:val="1"/>
          <w:color w:val="auto"/>
        </w:rPr>
        <w:t>Note 3, License and Collaboration Agreements</w:t>
      </w:r>
      <w:r>
        <w:rPr>
          <w:rFonts w:ascii="Arial" w:cs="Arial" w:eastAsia="Arial" w:hAnsi="Arial"/>
          <w:sz w:val="18"/>
          <w:szCs w:val="18"/>
          <w:color w:val="auto"/>
        </w:rPr>
        <w:t>.</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 (excluding amortization of in-licensed rights)</w:t>
      </w:r>
    </w:p>
    <w:p>
      <w:pPr>
        <w:spacing w:after="0" w:line="77" w:lineRule="exact"/>
        <w:rPr>
          <w:sz w:val="20"/>
          <w:szCs w:val="20"/>
          <w:color w:val="auto"/>
        </w:rPr>
      </w:pPr>
    </w:p>
    <w:p>
      <w:pPr>
        <w:jc w:val="both"/>
        <w:ind w:firstLine="749"/>
        <w:spacing w:after="0" w:line="224" w:lineRule="auto"/>
        <w:rPr>
          <w:sz w:val="20"/>
          <w:szCs w:val="20"/>
          <w:color w:val="auto"/>
        </w:rPr>
      </w:pPr>
      <w:r>
        <w:rPr>
          <w:rFonts w:ascii="Arial" w:cs="Arial" w:eastAsia="Arial" w:hAnsi="Arial"/>
          <w:sz w:val="18"/>
          <w:szCs w:val="18"/>
          <w:color w:val="auto"/>
        </w:rPr>
        <w:t>Our cost of sales (excluding amortization of in-licensed rights) consists of royalty payments primarily to BioMarin and UWA and inventory costs that relate to sales of our products. Prior to receiving regulatory approval for EXONDYS 51, VYONDYS 53 and AMONDYS 45 by the FDA in September 2016, December 2019 and February 2021, respectively, we expensed such manufacturing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6" w:name="page77"/>
    <w:bookmarkEnd w:id="76"/>
    <w:p>
      <w:pPr>
        <w:ind w:right="80"/>
        <w:spacing w:after="0" w:line="214" w:lineRule="auto"/>
        <w:rPr>
          <w:sz w:val="20"/>
          <w:szCs w:val="20"/>
          <w:color w:val="auto"/>
        </w:rPr>
      </w:pPr>
      <w:r>
        <w:rPr>
          <w:rFonts w:ascii="Arial" w:cs="Arial" w:eastAsia="Arial" w:hAnsi="Arial"/>
          <w:sz w:val="18"/>
          <w:szCs w:val="18"/>
          <w:color w:val="auto"/>
        </w:rPr>
        <w:t>and material costs as research and development expenses. For AMONDYS 45 sold in 2021 and VYONDYS 53 sold in 2020, the majority of related manufacturing costs incurred had previously been expensed as research and development expenses, as such costs were incurred prior to the FDA approval of the products. For VYONDYS sold in 2021 and EXONDYS 51 sold in 2021 and 2020, only part of the related manufacturing costs incurred had previously been expensed as research and development expenses. If product related costs had not previously been expensed as research and development expenses prior to FDA approval, the incremental inventory costs related to our products sold in 2021 and 2020 would have been approximately $22.0 million and $25.9 million, respectively.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our cost of sales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41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5"/>
                <w:szCs w:val="15"/>
                <w:color w:val="auto"/>
              </w:rPr>
            </w:pPr>
          </w:p>
        </w:tc>
      </w:tr>
      <w:tr>
        <w:trPr>
          <w:trHeight w:val="196"/>
        </w:trPr>
        <w:tc>
          <w:tcPr>
            <w:tcW w:w="4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557"/>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r>
      <w:tr>
        <w:trPr>
          <w:trHeight w:val="203"/>
        </w:trPr>
        <w:tc>
          <w:tcPr>
            <w:tcW w:w="41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Inventory costs related to products sold</w:t>
            </w:r>
          </w:p>
        </w:tc>
        <w:tc>
          <w:tcPr>
            <w:tcW w:w="980" w:type="dxa"/>
            <w:vAlign w:val="bottom"/>
            <w:shd w:val="clear" w:color="auto" w:fill="CFF0FC"/>
          </w:tcPr>
          <w:p>
            <w:pPr>
              <w:jc w:val="right"/>
              <w:ind w:right="799"/>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56,720</w:t>
            </w:r>
          </w:p>
        </w:tc>
        <w:tc>
          <w:tcPr>
            <w:tcW w:w="1100" w:type="dxa"/>
            <w:vAlign w:val="bottom"/>
            <w:gridSpan w:val="2"/>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34,323</w:t>
            </w: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22,397</w:t>
            </w:r>
          </w:p>
        </w:tc>
        <w:tc>
          <w:tcPr>
            <w:tcW w:w="12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65 %</w:t>
            </w:r>
          </w:p>
        </w:tc>
      </w:tr>
      <w:tr>
        <w:trPr>
          <w:trHeight w:val="203"/>
        </w:trPr>
        <w:tc>
          <w:tcPr>
            <w:tcW w:w="4140" w:type="dxa"/>
            <w:vAlign w:val="bottom"/>
          </w:tcPr>
          <w:p>
            <w:pPr>
              <w:ind w:left="180"/>
              <w:spacing w:after="0" w:line="202" w:lineRule="exact"/>
              <w:rPr>
                <w:sz w:val="20"/>
                <w:szCs w:val="20"/>
                <w:color w:val="auto"/>
              </w:rPr>
            </w:pPr>
            <w:r>
              <w:rPr>
                <w:rFonts w:ascii="Arial" w:cs="Arial" w:eastAsia="Arial" w:hAnsi="Arial"/>
                <w:sz w:val="18"/>
                <w:szCs w:val="18"/>
                <w:color w:val="auto"/>
              </w:rPr>
              <w:t>Royalty payments</w:t>
            </w: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40,329</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29,059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11,270</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39 %</w:t>
            </w:r>
          </w:p>
        </w:tc>
      </w:tr>
      <w:tr>
        <w:trPr>
          <w:trHeight w:val="236"/>
        </w:trPr>
        <w:tc>
          <w:tcPr>
            <w:tcW w:w="41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cost of sales</w:t>
            </w:r>
          </w:p>
        </w:tc>
        <w:tc>
          <w:tcPr>
            <w:tcW w:w="980" w:type="dxa"/>
            <w:vAlign w:val="bottom"/>
            <w:tcBorders>
              <w:top w:val="single" w:sz="8" w:color="auto"/>
              <w:bottom w:val="single" w:sz="8" w:color="auto"/>
            </w:tcBorders>
            <w:shd w:val="clear" w:color="auto" w:fill="CFF0FC"/>
          </w:tcPr>
          <w:p>
            <w:pPr>
              <w:jc w:val="right"/>
              <w:ind w:right="79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97,049</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99"/>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63,382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33,667</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-25400</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34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1460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cost of sales for 2021 increased $33.7 million, or 53%, compared with 2020. The change primarily reflects increasing demand for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firstLine="749"/>
        <w:spacing w:after="0" w:line="226" w:lineRule="auto"/>
        <w:rPr>
          <w:sz w:val="20"/>
          <w:szCs w:val="20"/>
          <w:color w:val="auto"/>
        </w:rPr>
      </w:pPr>
      <w:r>
        <w:rPr>
          <w:rFonts w:ascii="Arial" w:cs="Arial" w:eastAsia="Arial" w:hAnsi="Arial"/>
          <w:sz w:val="17"/>
          <w:szCs w:val="17"/>
          <w:color w:val="auto"/>
        </w:rPr>
        <w:t>Research and development expenses consist of costs associated with research activities as well as costs associated with our product development efforts, conducting pre-clinical trials, clinical trials and manufacturing activities. Direct research and development expenses associated with our programs include clinical trial site costs, clinical manufacturing costs, costs incurred for consultants, up-front fees and milestones paid to third parties in connection with technologies that have not reached technological feasibility and do not have an alternative future use, and other external services, such as data management and statistical analysis support, and materials and supplies used in support of clinical programs. Indirect costs of our clinical programs include salaries, stock-based compensation and allocation of our facility- and technology-related costs.</w:t>
      </w:r>
    </w:p>
    <w:p>
      <w:pPr>
        <w:spacing w:after="0" w:line="57" w:lineRule="exact"/>
        <w:rPr>
          <w:sz w:val="20"/>
          <w:szCs w:val="20"/>
          <w:color w:val="auto"/>
        </w:rPr>
      </w:pPr>
    </w:p>
    <w:p>
      <w:pPr>
        <w:ind w:right="400" w:firstLine="749"/>
        <w:spacing w:after="0" w:line="237" w:lineRule="auto"/>
        <w:rPr>
          <w:sz w:val="20"/>
          <w:szCs w:val="20"/>
          <w:color w:val="auto"/>
        </w:rPr>
      </w:pPr>
      <w:r>
        <w:rPr>
          <w:rFonts w:ascii="Arial" w:cs="Arial" w:eastAsia="Arial" w:hAnsi="Arial"/>
          <w:sz w:val="17"/>
          <w:szCs w:val="17"/>
          <w:color w:val="auto"/>
        </w:rPr>
        <w:t>Research and development expenses represent a substantial percentage of our total operating expenses. We do not maintain or evaluate and, therefore, do not allocate internal research and development costs on a project-by-project basis. As a result, a significant portion of our research and development expenses are not tracked on a project-by-project basis, as the costs may benefit multiple projects.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research and development expenses by project for each of the periods indicated: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For the Year Ended December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r>
      <w:tr>
        <w:trPr>
          <w:trHeight w:val="203"/>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Micro-dystrophin</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320,214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289,877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30,337</w:t>
            </w: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Other gene therapies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102,036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67,650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34,386</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51 %</w:t>
            </w:r>
          </w:p>
        </w:tc>
      </w:tr>
      <w:tr>
        <w:trPr>
          <w:trHeight w:val="202"/>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Up-front, milestone, and other expenses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40,267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47,280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(7,013 )</w:t>
            </w:r>
          </w:p>
        </w:tc>
        <w:tc>
          <w:tcPr>
            <w:tcW w:w="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(15 )%</w:t>
            </w: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Eteplirsen (exon 51)</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36,464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32,371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4,093</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PPMO platform</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35,652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31,633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4,019</w:t>
            </w: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Casimersen (exon 45)</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34,443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58,179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(23,736 )</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(41 )%</w:t>
            </w:r>
          </w:p>
        </w:tc>
      </w:tr>
      <w:tr>
        <w:trPr>
          <w:trHeight w:val="203"/>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Golodirsen (exon 53)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28,898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36,650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(7,752 )</w:t>
            </w:r>
          </w:p>
        </w:tc>
        <w:tc>
          <w:tcPr>
            <w:tcW w:w="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(21 )%</w:t>
            </w: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Collaboration cost-sharing</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12,425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13,105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(680 )</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(5 )%</w:t>
            </w:r>
          </w:p>
        </w:tc>
      </w:tr>
      <w:tr>
        <w:trPr>
          <w:trHeight w:val="203"/>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projects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17,302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12,736</w:t>
            </w: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233,704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206,912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26,792</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13 %</w:t>
            </w:r>
          </w:p>
        </w:tc>
      </w:tr>
      <w:tr>
        <w:trPr>
          <w:trHeight w:val="203"/>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Roche collaboration reimbursement</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(90,223 )</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(65,880 )</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(24,343 )</w:t>
            </w:r>
          </w:p>
        </w:tc>
        <w:tc>
          <w:tcPr>
            <w:tcW w:w="9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37 %</w:t>
            </w:r>
          </w:p>
        </w:tc>
      </w:tr>
      <w:tr>
        <w:trPr>
          <w:trHeight w:val="20"/>
        </w:trPr>
        <w:tc>
          <w:tcPr>
            <w:tcW w:w="4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771,182</w:t>
            </w:r>
          </w:p>
        </w:tc>
        <w:tc>
          <w:tcPr>
            <w:tcW w:w="24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722,343</w:t>
            </w:r>
          </w:p>
        </w:tc>
        <w:tc>
          <w:tcPr>
            <w:tcW w:w="24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48,839</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7 %</w:t>
            </w: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-159385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-159385</wp:posOffset>
            </wp:positionV>
            <wp:extent cx="60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wp:posOffset>
            </wp:positionV>
            <wp:extent cx="2057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NM: not meaningful</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77" w:name="page78"/>
    <w:bookmarkEnd w:id="77"/>
    <w:p>
      <w:pPr>
        <w:ind w:left="760"/>
        <w:spacing w:after="0"/>
        <w:rPr>
          <w:sz w:val="20"/>
          <w:szCs w:val="20"/>
          <w:color w:val="auto"/>
        </w:rPr>
      </w:pPr>
      <w:r>
        <w:rPr>
          <w:rFonts w:ascii="Arial" w:cs="Arial" w:eastAsia="Arial" w:hAnsi="Arial"/>
          <w:sz w:val="18"/>
          <w:szCs w:val="18"/>
          <w:color w:val="auto"/>
        </w:rPr>
        <w:t>The following table summarizes our research and development expenses by category for each of the periods indicated: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For the 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3"/>
        </w:trPr>
        <w:tc>
          <w:tcPr>
            <w:tcW w:w="45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 expenses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384,700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366,867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17,833</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other personnel expenses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115,394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107,149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8,245</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Clinical trial expenses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104,732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95,367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9,365</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Facility- and technology-related expenses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70,597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55,372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15,225</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50,526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41,671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8,855</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Up-front, milestone, and other expenses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40,267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47,280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(7,013 )</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Pre-clinical expenses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21,410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10,139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11,271</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111 %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13,900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18,325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(4,425 )</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Collaboration cost-sharing</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13,105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(680 )</w:t>
            </w:r>
          </w:p>
        </w:tc>
        <w:tc>
          <w:tcPr>
            <w:tcW w:w="9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Research and other</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47,454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32,948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14,506</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Roche collaboration reimbursement</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(90,223 )</w:t>
            </w: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(65,880 )</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(24,343 )</w:t>
            </w:r>
          </w:p>
        </w:tc>
        <w:tc>
          <w:tcPr>
            <w:tcW w:w="9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37 %</w:t>
            </w:r>
          </w:p>
        </w:tc>
      </w:tr>
      <w:tr>
        <w:trPr>
          <w:trHeight w:val="20"/>
        </w:trPr>
        <w:tc>
          <w:tcPr>
            <w:tcW w:w="4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196"/>
        </w:trPr>
        <w:tc>
          <w:tcPr>
            <w:tcW w:w="4580" w:type="dxa"/>
            <w:vAlign w:val="bottom"/>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771,182</w:t>
            </w:r>
          </w:p>
        </w:tc>
        <w:tc>
          <w:tcPr>
            <w:tcW w:w="26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722,343</w:t>
            </w:r>
          </w:p>
        </w:tc>
        <w:tc>
          <w:tcPr>
            <w:tcW w:w="220" w:type="dxa"/>
            <w:vAlign w:val="bottom"/>
          </w:tcPr>
          <w:p>
            <w:pPr>
              <w:spacing w:after="0"/>
              <w:rPr>
                <w:sz w:val="17"/>
                <w:szCs w:val="17"/>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48,839</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7 %</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-159385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6032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wp:posOffset>
            </wp:positionV>
            <wp:extent cx="6032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wp:posOffset>
            </wp:positionV>
            <wp:extent cx="2057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68"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Research and development expenses for 2021 increased by $48.8 million, or 7%, compared with 2020. The increase was primarily driven by the following:</w:t>
      </w:r>
    </w:p>
    <w:p>
      <w:pPr>
        <w:spacing w:after="0" w:line="62" w:lineRule="exact"/>
        <w:rPr>
          <w:sz w:val="20"/>
          <w:szCs w:val="20"/>
          <w:color w:val="auto"/>
        </w:rPr>
      </w:pPr>
    </w:p>
    <w:p>
      <w:pPr>
        <w:ind w:left="1260" w:right="40" w:hanging="503"/>
        <w:spacing w:after="0" w:line="307" w:lineRule="auto"/>
        <w:tabs>
          <w:tab w:leader="none" w:pos="1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$17.8 million increase in manufacturing expenses primarily due to our accelerated amortization of nonrefundable advance payments due to capacity changes associated with the execution of the Third Amendment to our manufacturing and supply agreement with Thermo;</w:t>
      </w:r>
    </w:p>
    <w:p>
      <w:pPr>
        <w:spacing w:after="0" w:line="15" w:lineRule="exact"/>
        <w:rPr>
          <w:rFonts w:ascii="Arial" w:cs="Arial" w:eastAsia="Arial" w:hAnsi="Arial"/>
          <w:sz w:val="16"/>
          <w:szCs w:val="16"/>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$8.2 million increase in compensation and other personnel expenses primarily due to changes in headcount;</w:t>
      </w:r>
    </w:p>
    <w:p>
      <w:pPr>
        <w:spacing w:after="0" w:line="90" w:lineRule="exact"/>
        <w:rPr>
          <w:rFonts w:ascii="Arial" w:cs="Arial" w:eastAsia="Arial" w:hAnsi="Arial"/>
          <w:sz w:val="18"/>
          <w:szCs w:val="18"/>
          <w:color w:val="auto"/>
        </w:rPr>
      </w:pPr>
    </w:p>
    <w:p>
      <w:pPr>
        <w:jc w:val="both"/>
        <w:ind w:left="1260" w:right="420" w:hanging="503"/>
        <w:spacing w:after="0" w:line="235"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$9.4 million increase in clinical trial expenses primarily due to increased patient enrollment for our ESSENCE and MOMENTUM programs as well as certain start-up activities and patient enrollment for our SRP-9001 micro-dystrophin program including for our EMBARK program;</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$15.2 million increase in facility- and technology-related expenses primarily due to our continuing expansion efforts;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$8.9 million increase in stock-based compensation expense primarily due to changes in headcount and stock price;</w:t>
      </w:r>
    </w:p>
    <w:p>
      <w:pPr>
        <w:spacing w:after="0" w:line="90" w:lineRule="exact"/>
        <w:rPr>
          <w:rFonts w:ascii="Arial" w:cs="Arial" w:eastAsia="Arial" w:hAnsi="Arial"/>
          <w:sz w:val="18"/>
          <w:szCs w:val="18"/>
          <w:color w:val="auto"/>
        </w:rPr>
      </w:pPr>
    </w:p>
    <w:p>
      <w:pPr>
        <w:ind w:left="1260" w:right="20" w:hanging="503"/>
        <w:spacing w:after="0" w:line="228"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$7.0 million decrease in up-front, milestone and other expenses, primarily due to a $28.7 million increase of an accrued sublicense fee to Nationwide and $11.6 million of expense incurred as a result of up-front and milestone payments related to certain research and license agreements during 2021. This was offset primarily by $9.3 million of milestone expense related to payments accrued to an academic institution and $38.0 million of up-front payments as a result of the execution of certain research, option and license agreements during 2020;</w:t>
      </w:r>
    </w:p>
    <w:p>
      <w:pPr>
        <w:spacing w:after="0" w:line="69" w:lineRule="exact"/>
        <w:rPr>
          <w:rFonts w:ascii="Arial" w:cs="Arial" w:eastAsia="Arial" w:hAnsi="Arial"/>
          <w:sz w:val="18"/>
          <w:szCs w:val="18"/>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$11.3 million increase in pre-clinical expenses primarily due to an increase of toxicology studies in our PPMO platforms;</w:t>
      </w:r>
    </w:p>
    <w:p>
      <w:pPr>
        <w:spacing w:after="0" w:line="90" w:lineRule="exact"/>
        <w:rPr>
          <w:rFonts w:ascii="Arial" w:cs="Arial" w:eastAsia="Arial" w:hAnsi="Arial"/>
          <w:sz w:val="18"/>
          <w:szCs w:val="18"/>
          <w:color w:val="auto"/>
        </w:rPr>
      </w:pPr>
    </w:p>
    <w:p>
      <w:pPr>
        <w:ind w:left="1260" w:right="220" w:hanging="503"/>
        <w:spacing w:after="0" w:line="246"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$4.4 million decrease in professional service expenses primarily due to a decrease in reliance on third-party research and development contractors;</w:t>
      </w:r>
    </w:p>
    <w:p>
      <w:pPr>
        <w:spacing w:after="0" w:line="61" w:lineRule="exact"/>
        <w:rPr>
          <w:rFonts w:ascii="Arial" w:cs="Arial" w:eastAsia="Arial" w:hAnsi="Arial"/>
          <w:sz w:val="18"/>
          <w:szCs w:val="18"/>
          <w:color w:val="auto"/>
        </w:rPr>
      </w:pPr>
    </w:p>
    <w:p>
      <w:pPr>
        <w:ind w:left="1260" w:right="80" w:hanging="503"/>
        <w:spacing w:after="0" w:line="246"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$0.7 million decrease in collaboration cost sharing expenses with Lysogene S.A. (“Lysogene”) on its MPS IIIA drug candidate offset by an increase in cost sharing expenses with Genethon on its micro-dystrophin drug candidate;</w:t>
      </w:r>
    </w:p>
    <w:p>
      <w:pPr>
        <w:spacing w:after="0" w:line="61" w:lineRule="exact"/>
        <w:rPr>
          <w:rFonts w:ascii="Arial" w:cs="Arial" w:eastAsia="Arial" w:hAnsi="Arial"/>
          <w:sz w:val="18"/>
          <w:szCs w:val="18"/>
          <w:color w:val="auto"/>
        </w:rPr>
      </w:pPr>
    </w:p>
    <w:p>
      <w:pPr>
        <w:ind w:left="1260" w:right="200" w:hanging="503"/>
        <w:spacing w:after="0" w:line="246"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$14.5 million increase in research and other expenses primarily driven by an increase in sponsored research with academic institutions during 2021; and</w:t>
      </w:r>
    </w:p>
    <w:p>
      <w:pPr>
        <w:spacing w:after="0" w:line="61" w:lineRule="exact"/>
        <w:rPr>
          <w:rFonts w:ascii="Arial" w:cs="Arial" w:eastAsia="Arial" w:hAnsi="Arial"/>
          <w:sz w:val="18"/>
          <w:szCs w:val="18"/>
          <w:color w:val="auto"/>
        </w:rPr>
      </w:pPr>
    </w:p>
    <w:p>
      <w:pPr>
        <w:ind w:left="1260" w:right="240" w:hanging="503"/>
        <w:spacing w:after="0" w:line="246"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$24.3 million increase in the offset to expense associated with a collaboration reimbursement from Roche primarily due to continuing development of our SRP-9001 micro-dystrophin gene therapy.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500" w:firstLine="749"/>
        <w:spacing w:after="0" w:line="246" w:lineRule="auto"/>
        <w:rPr>
          <w:sz w:val="20"/>
          <w:szCs w:val="20"/>
          <w:color w:val="auto"/>
        </w:rPr>
      </w:pPr>
      <w:r>
        <w:rPr>
          <w:rFonts w:ascii="Arial" w:cs="Arial" w:eastAsia="Arial" w:hAnsi="Arial"/>
          <w:sz w:val="18"/>
          <w:szCs w:val="18"/>
          <w:color w:val="auto"/>
        </w:rPr>
        <w:t>Selling, general and administrative expenses consist of salaries, benefits, stock-based compensation and related costs for personnel in our executive, finance, legal, information technology, business development, human resources, commercial and other</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78" w:name="page79"/>
    <w:bookmarkEnd w:id="78"/>
    <w:p>
      <w:pPr>
        <w:ind w:right="420"/>
        <w:spacing w:after="0" w:line="246" w:lineRule="auto"/>
        <w:rPr>
          <w:sz w:val="20"/>
          <w:szCs w:val="20"/>
          <w:color w:val="auto"/>
        </w:rPr>
      </w:pPr>
      <w:r>
        <w:rPr>
          <w:rFonts w:ascii="Arial" w:cs="Arial" w:eastAsia="Arial" w:hAnsi="Arial"/>
          <w:sz w:val="18"/>
          <w:szCs w:val="18"/>
          <w:color w:val="auto"/>
        </w:rPr>
        <w:t>general and administrative functions. Other general and administrative expenses include an allocation of our facility- and technology-related costs and professional fees for legal, consulting and accounting services.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selling, general and administrative expenses by category for each of the periods indicated: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For the 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3"/>
        </w:trPr>
        <w:tc>
          <w:tcPr>
            <w:tcW w:w="45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Compensation and other personnel expenses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103,528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105,233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(1,705 )</w:t>
            </w:r>
          </w:p>
        </w:tc>
        <w:tc>
          <w:tcPr>
            <w:tcW w:w="9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73,605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106,571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(32,966 )</w:t>
            </w: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(31 )%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63,417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66,399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(2,982 )</w:t>
            </w:r>
          </w:p>
        </w:tc>
        <w:tc>
          <w:tcPr>
            <w:tcW w:w="9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Facility- and technology-related expenses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31,113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28,615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2,498</w:t>
            </w:r>
          </w:p>
        </w:tc>
        <w:tc>
          <w:tcPr>
            <w:tcW w:w="220" w:type="dxa"/>
            <w:vAlign w:val="bottom"/>
          </w:tcPr>
          <w:p>
            <w:pPr>
              <w:spacing w:after="0"/>
              <w:rPr>
                <w:sz w:val="17"/>
                <w:szCs w:val="17"/>
                <w:color w:val="auto"/>
              </w:rPr>
            </w:pPr>
          </w:p>
        </w:tc>
        <w:tc>
          <w:tcPr>
            <w:tcW w:w="9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9 %</w:t>
            </w: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11,251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11,661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(410 )</w:t>
            </w:r>
          </w:p>
        </w:tc>
        <w:tc>
          <w:tcPr>
            <w:tcW w:w="9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(4 )%</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Roche collaboration reimbursement</w:t>
            </w:r>
          </w:p>
        </w:tc>
        <w:tc>
          <w:tcPr>
            <w:tcW w:w="26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(254 )</w:t>
            </w:r>
          </w:p>
        </w:tc>
        <w:tc>
          <w:tcPr>
            <w:tcW w:w="34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(604 )</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20" w:type="dxa"/>
            <w:vAlign w:val="bottom"/>
          </w:tcPr>
          <w:p>
            <w:pPr>
              <w:spacing w:after="0"/>
              <w:rPr>
                <w:sz w:val="17"/>
                <w:szCs w:val="17"/>
                <w:color w:val="auto"/>
              </w:rPr>
            </w:pP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(58 )%</w:t>
            </w:r>
          </w:p>
        </w:tc>
      </w:tr>
      <w:tr>
        <w:trPr>
          <w:trHeight w:val="236"/>
        </w:trPr>
        <w:tc>
          <w:tcPr>
            <w:tcW w:w="45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selling, general and administrative expenses</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282,660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317,875</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(35,215</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34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2057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205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82"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Selling, general and administrative expenses for 2021 decreased by $35.2 million, or 11%, compared with 2020. This was primarily driven by the following:</w:t>
      </w:r>
    </w:p>
    <w:p>
      <w:pPr>
        <w:spacing w:after="0" w:line="62" w:lineRule="exact"/>
        <w:rPr>
          <w:sz w:val="20"/>
          <w:szCs w:val="20"/>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$1.7 million decrease in compensation and other personnel expenses primarily due to changes in headcount;</w:t>
      </w:r>
    </w:p>
    <w:p>
      <w:pPr>
        <w:spacing w:after="0" w:line="90" w:lineRule="exact"/>
        <w:rPr>
          <w:rFonts w:ascii="Arial" w:cs="Arial" w:eastAsia="Arial" w:hAnsi="Arial"/>
          <w:sz w:val="18"/>
          <w:szCs w:val="18"/>
          <w:color w:val="auto"/>
        </w:rPr>
      </w:pPr>
    </w:p>
    <w:p>
      <w:pPr>
        <w:ind w:left="1260" w:right="260" w:hanging="503"/>
        <w:spacing w:after="0" w:line="235"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$33.0 million decrease in professional service expenses primarily due to a decrease in reliance on third-party selling, general and administrative contractors, as well as a transaction fee for the Roche transaction incurred during 2020, with no similar activity incurred during 2021;</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$3.0 million decrease in stock-based compensation expense primarily due to changes in headcount and stock price;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$2.5 million increase in facility- and technology-related expenses primarily due to our continuing expansion efforts.</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 and license charges</w:t>
      </w:r>
    </w:p>
    <w:p>
      <w:pPr>
        <w:spacing w:after="0" w:line="77" w:lineRule="exact"/>
        <w:rPr>
          <w:sz w:val="20"/>
          <w:szCs w:val="20"/>
          <w:color w:val="auto"/>
        </w:rPr>
      </w:pPr>
    </w:p>
    <w:p>
      <w:pPr>
        <w:ind w:firstLine="749"/>
        <w:spacing w:after="0" w:line="249" w:lineRule="auto"/>
        <w:rPr>
          <w:sz w:val="20"/>
          <w:szCs w:val="20"/>
          <w:color w:val="auto"/>
        </w:rPr>
      </w:pPr>
      <w:r>
        <w:rPr>
          <w:rFonts w:ascii="Arial" w:cs="Arial" w:eastAsia="Arial" w:hAnsi="Arial"/>
          <w:sz w:val="16"/>
          <w:szCs w:val="16"/>
          <w:color w:val="auto"/>
        </w:rPr>
        <w:t>In February 2021, we recognized a $10.0 million settlement charge related to contingent settlement payments to BioMarin as a result of the approval of AMONDYS 45 in the U.S. This was a result of a settlement and license agreement with BioMarin executed in July 2017. This amount, which was expensed to operations as incurred, is separately presented as settlement and license charges in the Company's consolidated statement of operations and comprehensive loss for the year ended December 31, 2021. There was no such expense recognized during the same period of 2020.</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in-licensed rights</w:t>
      </w:r>
    </w:p>
    <w:p>
      <w:pPr>
        <w:spacing w:after="0" w:line="77" w:lineRule="exact"/>
        <w:rPr>
          <w:sz w:val="20"/>
          <w:szCs w:val="20"/>
          <w:color w:val="auto"/>
        </w:rPr>
      </w:pPr>
    </w:p>
    <w:p>
      <w:pPr>
        <w:ind w:right="120" w:firstLine="749"/>
        <w:spacing w:after="0" w:line="237" w:lineRule="auto"/>
        <w:rPr>
          <w:sz w:val="20"/>
          <w:szCs w:val="20"/>
          <w:color w:val="auto"/>
        </w:rPr>
      </w:pPr>
      <w:r>
        <w:rPr>
          <w:rFonts w:ascii="Arial" w:cs="Arial" w:eastAsia="Arial" w:hAnsi="Arial"/>
          <w:sz w:val="17"/>
          <w:szCs w:val="17"/>
          <w:color w:val="auto"/>
        </w:rPr>
        <w:t>Amortization of in-licensed rights relates to the agreements we entered into with BioMarin and UWA in July 2017 and April 2013, respectively. Each in-licensed right is being amortized on a straight-line basis over the remaining life of the patent from the first commercial sale of each product. For both the years ended December 31, 2021 and 2020, we recorded amortization of in-licensed rights of approximately $0.7 million.</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Gain from sale of Priority Review Voucher</w:t>
      </w:r>
    </w:p>
    <w:p>
      <w:pPr>
        <w:spacing w:after="0" w:line="77" w:lineRule="exact"/>
        <w:rPr>
          <w:sz w:val="20"/>
          <w:szCs w:val="20"/>
          <w:color w:val="auto"/>
        </w:rPr>
      </w:pPr>
    </w:p>
    <w:p>
      <w:pPr>
        <w:jc w:val="both"/>
        <w:ind w:right="100" w:firstLine="749"/>
        <w:spacing w:after="0" w:line="232" w:lineRule="auto"/>
        <w:rPr>
          <w:sz w:val="20"/>
          <w:szCs w:val="20"/>
          <w:color w:val="auto"/>
        </w:rPr>
      </w:pPr>
      <w:r>
        <w:rPr>
          <w:rFonts w:ascii="Arial" w:cs="Arial" w:eastAsia="Arial" w:hAnsi="Arial"/>
          <w:sz w:val="17"/>
          <w:szCs w:val="17"/>
          <w:color w:val="auto"/>
        </w:rPr>
        <w:t>In February 2021, we entered into an agreement to sell the PRV (the "AMONDYS 45 PRV") we received from the FDA in connection with the approval of AMONDYS 45. Following the termination of the applicable waiting period under the Hart-Scott-Rodino Antitrust Improvements Act of 1976, as amended, in April 2021, we completed our sale of the AMONDYS 45 PRV and received proceeds of $102.0 million, with no commission costs, which was recorded as a gain from sale of the PRV as it did not have a carrying value at the time of the sale.</w:t>
      </w:r>
    </w:p>
    <w:p>
      <w:pPr>
        <w:spacing w:after="0" w:line="54" w:lineRule="exact"/>
        <w:rPr>
          <w:sz w:val="20"/>
          <w:szCs w:val="20"/>
          <w:color w:val="auto"/>
        </w:rPr>
      </w:pPr>
    </w:p>
    <w:p>
      <w:pPr>
        <w:jc w:val="both"/>
        <w:ind w:right="180" w:firstLine="749"/>
        <w:spacing w:after="0" w:line="232" w:lineRule="auto"/>
        <w:rPr>
          <w:sz w:val="20"/>
          <w:szCs w:val="20"/>
          <w:color w:val="auto"/>
        </w:rPr>
      </w:pPr>
      <w:r>
        <w:rPr>
          <w:rFonts w:ascii="Arial" w:cs="Arial" w:eastAsia="Arial" w:hAnsi="Arial"/>
          <w:sz w:val="17"/>
          <w:szCs w:val="17"/>
          <w:color w:val="auto"/>
        </w:rPr>
        <w:t>In February 2020, we entered into an agreement to sell the PRV (the "VYONDYS 53 PRV") we received from the FDA in connection with the approval of VYONDYS 53. Following the early termination of the applicable waiting period under the Hart-Scott-Rodino Antitrust Improvements Act of 1976, as amended, in March 2020, we completed our sale of the VYONDYS 53 PRV and received proceeds of $108.1 million, net of commission, which was recorded as a gain from sale of the PRV as it did not have a carrying value at the time of the sale.</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Gain (loss) on contingent consideration, net</w:t>
      </w:r>
    </w:p>
    <w:p>
      <w:pPr>
        <w:spacing w:after="0" w:line="77" w:lineRule="exact"/>
        <w:rPr>
          <w:sz w:val="20"/>
          <w:szCs w:val="20"/>
          <w:color w:val="auto"/>
        </w:rPr>
      </w:pPr>
    </w:p>
    <w:p>
      <w:pPr>
        <w:ind w:right="560" w:firstLine="749"/>
        <w:spacing w:after="0" w:line="235" w:lineRule="auto"/>
        <w:rPr>
          <w:sz w:val="20"/>
          <w:szCs w:val="20"/>
          <w:color w:val="auto"/>
        </w:rPr>
      </w:pPr>
      <w:r>
        <w:rPr>
          <w:rFonts w:ascii="Arial" w:cs="Arial" w:eastAsia="Arial" w:hAnsi="Arial"/>
          <w:sz w:val="18"/>
          <w:szCs w:val="18"/>
          <w:color w:val="auto"/>
        </w:rPr>
        <w:t>The gain (loss) on contingent consideration, net, relates to the fair value adjustment of the Company’s contingent consideration derivative liability related to regulatory-related contingent payments to Myonexus selling shareholders as well as to two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9" w:name="page80"/>
    <w:bookmarkEnd w:id="79"/>
    <w:p>
      <w:pPr>
        <w:jc w:val="both"/>
        <w:ind w:right="340"/>
        <w:spacing w:after="0" w:line="224" w:lineRule="auto"/>
        <w:rPr>
          <w:sz w:val="20"/>
          <w:szCs w:val="20"/>
          <w:color w:val="auto"/>
        </w:rPr>
      </w:pPr>
      <w:r>
        <w:rPr>
          <w:rFonts w:ascii="Arial" w:cs="Arial" w:eastAsia="Arial" w:hAnsi="Arial"/>
          <w:sz w:val="18"/>
          <w:szCs w:val="18"/>
          <w:color w:val="auto"/>
        </w:rPr>
        <w:t xml:space="preserve">academic institutions under separate license agreements that meet the definition of a derivative. For the years ended December 31, 2021 and 2020, we recognized a $7.2 million net gain and $45.0 million net loss, respectively, to adjust the fair value of the contingent consideration liabilities. For further information on our contingent considerations, please read </w:t>
      </w:r>
      <w:r>
        <w:rPr>
          <w:rFonts w:ascii="Arial" w:cs="Arial" w:eastAsia="Arial" w:hAnsi="Arial"/>
          <w:sz w:val="18"/>
          <w:szCs w:val="18"/>
          <w:i w:val="1"/>
          <w:iCs w:val="1"/>
          <w:color w:val="auto"/>
        </w:rPr>
        <w:t>Note 5, Fair Value Measurements.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jc w:val="both"/>
        <w:ind w:right="180" w:firstLine="749"/>
        <w:spacing w:after="0" w:line="219" w:lineRule="auto"/>
        <w:rPr>
          <w:sz w:val="20"/>
          <w:szCs w:val="20"/>
          <w:color w:val="auto"/>
        </w:rPr>
      </w:pPr>
      <w:r>
        <w:rPr>
          <w:rFonts w:ascii="Arial" w:cs="Arial" w:eastAsia="Arial" w:hAnsi="Arial"/>
          <w:sz w:val="18"/>
          <w:szCs w:val="18"/>
          <w:color w:val="auto"/>
        </w:rPr>
        <w:t>Other expense, net, primarily consists of interest income on our cash, cash equivalents and investments, interest expense on our debt facilities, amortization of investment discount, and unrealized gain or loss from our investment in our strategic investments. Our cash equivalents and investments consist of money market funds, government and government agency debt securities, and certificates of deposit. Interest expense includes interest accrued on our convertible notes and term loan.</w:t>
      </w:r>
    </w:p>
    <w:p>
      <w:pPr>
        <w:spacing w:after="0" w:line="163" w:lineRule="exact"/>
        <w:rPr>
          <w:sz w:val="20"/>
          <w:szCs w:val="20"/>
          <w:color w:val="auto"/>
        </w:rPr>
      </w:pPr>
    </w:p>
    <w:p>
      <w:pPr>
        <w:ind w:right="220" w:firstLine="749"/>
        <w:spacing w:after="0" w:line="276" w:lineRule="auto"/>
        <w:rPr>
          <w:sz w:val="20"/>
          <w:szCs w:val="20"/>
          <w:color w:val="auto"/>
        </w:rPr>
      </w:pPr>
      <w:r>
        <w:rPr>
          <w:rFonts w:ascii="Arial" w:cs="Arial" w:eastAsia="Arial" w:hAnsi="Arial"/>
          <w:sz w:val="16"/>
          <w:szCs w:val="16"/>
          <w:color w:val="auto"/>
        </w:rPr>
        <w:t>Other expense, net, for 2021 increased by approximately $16.5 million compared with 2020. The increase primarily reflects an increase in interest expense incurred on our term loan debt facilities due to an increase in the outstanding balance as well as an impairment loss related to a strategic investment, partially offset by a decrease of $20.8 million in non-cash interest expense on our convertible debt in 2021 as compared to 2020.</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90"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Income tax benefit for 2021 was approximately $0.2 million and income tax expense for 2020 was $1.1 million. Income tax (benefit) expense for all periods presented relates to state and foreign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financial condition for each of the periods indicated:</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5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Financial assets: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2,115,869</w:t>
            </w:r>
          </w:p>
        </w:tc>
        <w:tc>
          <w:tcPr>
            <w:tcW w:w="6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1,502,648</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613,221</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435,923</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(435,923 )</w:t>
            </w: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Restricted cash and investments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9,904</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589</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5"/>
        </w:trPr>
        <w:tc>
          <w:tcPr>
            <w:tcW w:w="4300" w:type="dxa"/>
            <w:vAlign w:val="bottom"/>
            <w:shd w:val="clear" w:color="auto" w:fill="CFF0FC"/>
          </w:tcPr>
          <w:p>
            <w:pPr>
              <w:ind w:left="360"/>
              <w:spacing w:after="0" w:line="156" w:lineRule="exact"/>
              <w:rPr>
                <w:sz w:val="20"/>
                <w:szCs w:val="20"/>
                <w:color w:val="auto"/>
              </w:rPr>
            </w:pPr>
            <w:r>
              <w:rPr>
                <w:rFonts w:ascii="Arial" w:cs="Arial" w:eastAsia="Arial" w:hAnsi="Arial"/>
                <w:sz w:val="18"/>
                <w:szCs w:val="18"/>
                <w:color w:val="auto"/>
              </w:rPr>
              <w:t>Total cash, cash equivalents and</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2,125,773</w:t>
            </w:r>
          </w:p>
        </w:tc>
        <w:tc>
          <w:tcPr>
            <w:tcW w:w="640" w:type="dxa"/>
            <w:vAlign w:val="bottom"/>
            <w:gridSpan w:val="2"/>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1,947,886</w:t>
            </w:r>
          </w:p>
        </w:tc>
        <w:tc>
          <w:tcPr>
            <w:tcW w:w="44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177,887</w:t>
            </w:r>
          </w:p>
        </w:tc>
        <w:tc>
          <w:tcPr>
            <w:tcW w:w="220" w:type="dxa"/>
            <w:vAlign w:val="bottom"/>
            <w:shd w:val="clear" w:color="auto" w:fill="CFF0FC"/>
          </w:tcPr>
          <w:p>
            <w:pPr>
              <w:spacing w:after="0"/>
              <w:rPr>
                <w:sz w:val="13"/>
                <w:szCs w:val="13"/>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500"/>
              <w:spacing w:after="0" w:line="156" w:lineRule="exact"/>
              <w:rPr>
                <w:sz w:val="20"/>
                <w:szCs w:val="20"/>
                <w:color w:val="auto"/>
              </w:rPr>
            </w:pPr>
            <w:r>
              <w:rPr>
                <w:rFonts w:ascii="Arial" w:cs="Arial" w:eastAsia="Arial" w:hAnsi="Arial"/>
                <w:sz w:val="18"/>
                <w:szCs w:val="18"/>
                <w:color w:val="auto"/>
              </w:rPr>
              <w:t>investments</w:t>
            </w:r>
          </w:p>
        </w:tc>
        <w:tc>
          <w:tcPr>
            <w:tcW w:w="260" w:type="dxa"/>
            <w:vAlign w:val="bottom"/>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Borrowings: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Term loan</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533,203</w:t>
            </w:r>
          </w:p>
        </w:tc>
        <w:tc>
          <w:tcPr>
            <w:tcW w:w="6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527,731</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5,472</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Convertible debt</w:t>
            </w:r>
          </w:p>
        </w:tc>
        <w:tc>
          <w:tcPr>
            <w:tcW w:w="2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563,673</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464,762</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98,911</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96"/>
        </w:trPr>
        <w:tc>
          <w:tcPr>
            <w:tcW w:w="4300" w:type="dxa"/>
            <w:vAlign w:val="bottom"/>
          </w:tcPr>
          <w:p>
            <w:pPr>
              <w:ind w:left="360"/>
              <w:spacing w:after="0" w:line="182" w:lineRule="exact"/>
              <w:rPr>
                <w:sz w:val="20"/>
                <w:szCs w:val="20"/>
                <w:color w:val="auto"/>
              </w:rPr>
            </w:pPr>
            <w:r>
              <w:rPr>
                <w:rFonts w:ascii="Arial" w:cs="Arial" w:eastAsia="Arial" w:hAnsi="Arial"/>
                <w:sz w:val="18"/>
                <w:szCs w:val="18"/>
                <w:color w:val="auto"/>
              </w:rPr>
              <w:t>Total borrowings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1,096,876</w:t>
            </w:r>
          </w:p>
        </w:tc>
        <w:tc>
          <w:tcPr>
            <w:tcW w:w="640" w:type="dxa"/>
            <w:vAlign w:val="bottom"/>
            <w:gridSpan w:val="2"/>
          </w:tcPr>
          <w:p>
            <w:pPr>
              <w:jc w:val="right"/>
              <w:ind w:right="25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992,493</w:t>
            </w: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104,383</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2,604,099</w:t>
            </w:r>
          </w:p>
        </w:tc>
        <w:tc>
          <w:tcPr>
            <w:tcW w:w="64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2,485,196</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118,903</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452,733</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416,026</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36,707</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Total working capital</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2,151,366</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2,069,170</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82,196</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-1379220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-1362075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-1379220</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-1362075</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-1362075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-836295</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-836295</wp:posOffset>
            </wp:positionV>
            <wp:extent cx="342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-836295</wp:posOffset>
            </wp:positionV>
            <wp:extent cx="5143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firstLine="749"/>
        <w:spacing w:after="0" w:line="235" w:lineRule="auto"/>
        <w:rPr>
          <w:sz w:val="20"/>
          <w:szCs w:val="20"/>
          <w:color w:val="auto"/>
        </w:rPr>
      </w:pPr>
      <w:r>
        <w:rPr>
          <w:rFonts w:ascii="Arial" w:cs="Arial" w:eastAsia="Arial" w:hAnsi="Arial"/>
          <w:sz w:val="16"/>
          <w:szCs w:val="16"/>
          <w:color w:val="auto"/>
        </w:rPr>
        <w:t xml:space="preserve">For the year ended December 31, 2021, our principal sources of liquidity were primarily derived from sales of our products, our collaboration arrangement with Roche, net proceeds from sale of the PRV, and net proceeds from our common stock offering. For the year ended December 31, 2020, our principal sources of liquidity were primarily derived from our collaboration arrangement with Roche, net proceeds from draw-down of our debt facility, net proceeds from sale of the PRV and product sales of our products. Our principal uses of cash are research and development expenses, selling, general and administrative expenses, investments, capital expenditures, business development transactions and other working capital requirements. The changes in our total borrowings primarily reflect the adoption of ASU 2020-06 as of January 1, 2021, which resulted in the convertible debt being accounted for as a single liability measured at its amortized cost. For more information on the adoption and impact of ASU 2020-06, please read </w:t>
      </w:r>
      <w:r>
        <w:rPr>
          <w:rFonts w:ascii="Arial" w:cs="Arial" w:eastAsia="Arial" w:hAnsi="Arial"/>
          <w:sz w:val="16"/>
          <w:szCs w:val="16"/>
          <w:i w:val="1"/>
          <w:iCs w:val="1"/>
          <w:color w:val="auto"/>
        </w:rPr>
        <w:t>Note 13, Indebtedness.</w:t>
      </w:r>
      <w:r>
        <w:rPr>
          <w:rFonts w:ascii="Arial" w:cs="Arial" w:eastAsia="Arial" w:hAnsi="Arial"/>
          <w:sz w:val="16"/>
          <w:szCs w:val="16"/>
          <w:color w:val="auto"/>
        </w:rPr>
        <w:t xml:space="preserve"> The changes in our working capital primarily reflect use of cash in operating activities. While our contractual obligations, commitments and debt service requirements over the next several years are significant, we intend to continue to fund our short-term financing needs and working capital requirements from cash flows of operating activities as well as cash on hand, and such sources are anticipated to be adequate to fund working capital requirements for at least twelve months from the date these consolidated financial statements were issued.</w:t>
      </w:r>
    </w:p>
    <w:p>
      <w:pPr>
        <w:spacing w:after="0" w:line="165" w:lineRule="exact"/>
        <w:rPr>
          <w:sz w:val="20"/>
          <w:szCs w:val="20"/>
          <w:color w:val="auto"/>
        </w:rPr>
      </w:pPr>
    </w:p>
    <w:p>
      <w:pPr>
        <w:ind w:right="600" w:firstLine="749"/>
        <w:spacing w:after="0" w:line="235" w:lineRule="auto"/>
        <w:rPr>
          <w:sz w:val="20"/>
          <w:szCs w:val="20"/>
          <w:color w:val="auto"/>
        </w:rPr>
      </w:pPr>
      <w:r>
        <w:rPr>
          <w:rFonts w:ascii="Arial" w:cs="Arial" w:eastAsia="Arial" w:hAnsi="Arial"/>
          <w:sz w:val="18"/>
          <w:szCs w:val="18"/>
          <w:color w:val="auto"/>
        </w:rPr>
        <w:t>Beyond 2022, our cash requirements will depend extensively on our ability to advance our research, development and commercialization programs. We expect to seek additional financings primarily from, but not limited to, the sale and issuance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equity and debt securities, the licensing or sale of our technologies, additional government contracts and/or funded research and development agreements.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Our future expenditures and long-term capital requirements may be substantial and will depend on many factors, including but not limited to the following:</w:t>
      </w:r>
    </w:p>
    <w:p>
      <w:pPr>
        <w:spacing w:after="0" w:line="84" w:lineRule="exact"/>
        <w:rPr>
          <w:sz w:val="20"/>
          <w:szCs w:val="20"/>
          <w:color w:val="auto"/>
        </w:rPr>
      </w:pPr>
    </w:p>
    <w:p>
      <w:pPr>
        <w:ind w:left="1260" w:hanging="503"/>
        <w:spacing w:after="0"/>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ability to continue to generate revenues from sales of EXONDYS 51, VYONDYS 53, AMONDYS 45 and potential future products;</w:t>
      </w:r>
    </w:p>
    <w:p>
      <w:pPr>
        <w:spacing w:after="0" w:line="99" w:lineRule="exact"/>
        <w:rPr>
          <w:rFonts w:ascii="Arial" w:cs="Arial" w:eastAsia="Arial" w:hAnsi="Arial"/>
          <w:sz w:val="16"/>
          <w:szCs w:val="16"/>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costs associated with our expansion efforts;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costs of building out our manufacturing capabilities;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advanced payments related to our future inventory commitments and manufacturing obligations;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costs associated with our existing lease obligations;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costs associated with our clinical trials and pre-clinical trials;</w:t>
      </w:r>
    </w:p>
    <w:p>
      <w:pPr>
        <w:spacing w:after="0" w:line="76" w:lineRule="exact"/>
        <w:rPr>
          <w:rFonts w:ascii="Arial" w:cs="Arial" w:eastAsia="Arial" w:hAnsi="Arial"/>
          <w:sz w:val="18"/>
          <w:szCs w:val="18"/>
          <w:color w:val="auto"/>
        </w:rPr>
      </w:pPr>
    </w:p>
    <w:p>
      <w:pPr>
        <w:ind w:left="1260" w:right="240" w:hanging="503"/>
        <w:spacing w:after="0" w:line="235"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attainment of milestones and our obligations to make milestone payments to Myonexus’s selling shareholders StrideBio, BioMarin, Lysogene, Lacerta Therapeutics, Inc., Nationwide, UWA and other institutions;</w:t>
      </w:r>
    </w:p>
    <w:p>
      <w:pPr>
        <w:spacing w:after="0" w:line="53"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repayment of outstanding debt; and</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patent claims and our other intellectual property rights.</w:t>
      </w:r>
    </w:p>
    <w:p>
      <w:pPr>
        <w:spacing w:after="0" w:line="185" w:lineRule="exact"/>
        <w:rPr>
          <w:sz w:val="20"/>
          <w:szCs w:val="20"/>
          <w:color w:val="auto"/>
        </w:rPr>
      </w:pPr>
    </w:p>
    <w:p>
      <w:pPr>
        <w:jc w:val="both"/>
        <w:ind w:right="360" w:firstLine="749"/>
        <w:spacing w:after="0" w:line="259" w:lineRule="auto"/>
        <w:rPr>
          <w:sz w:val="20"/>
          <w:szCs w:val="20"/>
          <w:color w:val="auto"/>
        </w:rPr>
      </w:pPr>
      <w:r>
        <w:rPr>
          <w:rFonts w:ascii="Arial" w:cs="Arial" w:eastAsia="Arial" w:hAnsi="Arial"/>
          <w:sz w:val="16"/>
          <w:szCs w:val="16"/>
          <w:color w:val="auto"/>
        </w:rPr>
        <w:t>We cannot provide assurances that financing will be available when and as needed or that, if available, the financings will be on favorable or acceptable terms. If we are unable to obtain additional financing when and if we require, this would have a material adverse effect on our business and results of operations. To the extent we issue additional equity securities, our existing stockholders could experience substantial dilution.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 activity for each of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3"/>
        </w:trPr>
        <w:tc>
          <w:tcPr>
            <w:tcW w:w="48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(used in) provided by</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(443,172 )</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107,466</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(550,638 )</w:t>
            </w: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495,413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(121,721 )</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617,134</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561,569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682,323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(120,754 )</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(18 )%</w:t>
            </w:r>
          </w:p>
        </w:tc>
      </w:tr>
      <w:tr>
        <w:trPr>
          <w:trHeight w:val="236"/>
        </w:trPr>
        <w:tc>
          <w:tcPr>
            <w:tcW w:w="48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Increase in cash and cash equivalents</w:t>
            </w:r>
          </w:p>
        </w:tc>
        <w:tc>
          <w:tcPr>
            <w:tcW w:w="32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613,810</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668,068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(54,258</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1400" w:type="dxa"/>
            <w:vAlign w:val="bottom"/>
            <w:tcBorders>
              <w:bottom w:val="single" w:sz="8" w:color="CFF0FC"/>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(8 )%</w:t>
            </w:r>
          </w:p>
        </w:tc>
      </w:tr>
      <w:tr>
        <w:trPr>
          <w:trHeight w:val="211"/>
        </w:trPr>
        <w:tc>
          <w:tcPr>
            <w:tcW w:w="4860" w:type="dxa"/>
            <w:vAlign w:val="bottom"/>
          </w:tcPr>
          <w:p>
            <w:pPr>
              <w:ind w:left="520"/>
              <w:spacing w:after="0"/>
              <w:rPr>
                <w:sz w:val="20"/>
                <w:szCs w:val="20"/>
                <w:color w:val="auto"/>
              </w:rPr>
            </w:pPr>
            <w:r>
              <w:rPr>
                <w:rFonts w:ascii="Arial" w:cs="Arial" w:eastAsia="Arial" w:hAnsi="Arial"/>
                <w:sz w:val="18"/>
                <w:szCs w:val="18"/>
                <w:color w:val="auto"/>
              </w:rPr>
              <w:t>* NM: not meaningful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-154305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-171450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-154305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-171450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-154305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00" w:firstLine="749"/>
        <w:spacing w:after="0" w:line="231" w:lineRule="auto"/>
        <w:rPr>
          <w:sz w:val="20"/>
          <w:szCs w:val="20"/>
          <w:color w:val="auto"/>
        </w:rPr>
      </w:pPr>
      <w:r>
        <w:rPr>
          <w:rFonts w:ascii="Arial" w:cs="Arial" w:eastAsia="Arial" w:hAnsi="Arial"/>
          <w:sz w:val="18"/>
          <w:szCs w:val="18"/>
          <w:color w:val="auto"/>
        </w:rPr>
        <w:t>Cash used in operating activities, which consists of our net loss adjusted for non-cash items and changes in net operating assets and liabilities, totaled $443.2 million in 2021. Operating activities provided $107.5 million of cash in 2020. The most significant contributor to the year-over-year change was the cash received in the prior year relating to the collaboration arrangement with Roche that was recorded as deferred revenue. Cash used in operating activities in 2021 was primarily driven by the net loss of $418.8 million, adjusted for following:</w:t>
      </w:r>
    </w:p>
    <w:p>
      <w:pPr>
        <w:spacing w:after="0" w:line="67" w:lineRule="exact"/>
        <w:rPr>
          <w:sz w:val="20"/>
          <w:szCs w:val="20"/>
          <w:color w:val="auto"/>
        </w:rPr>
      </w:pPr>
    </w:p>
    <w:p>
      <w:pPr>
        <w:ind w:left="1260" w:hanging="503"/>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$113.9 million in stock-based compensation expense;</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$38.0 million in depreciation and amortization expense;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$23.8 million in other non-cash items.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amounts were partially offset by the gain of $102.0 million recorded from the sale of the PRV.</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1" w:name="page82"/>
    <w:bookmarkEnd w:id="81"/>
    <w:p>
      <w:pPr>
        <w:ind w:left="760"/>
        <w:spacing w:after="0"/>
        <w:rPr>
          <w:sz w:val="20"/>
          <w:szCs w:val="20"/>
          <w:color w:val="auto"/>
        </w:rPr>
      </w:pPr>
      <w:r>
        <w:rPr>
          <w:rFonts w:ascii="Arial" w:cs="Arial" w:eastAsia="Arial" w:hAnsi="Arial"/>
          <w:sz w:val="18"/>
          <w:szCs w:val="18"/>
          <w:color w:val="auto"/>
        </w:rPr>
        <w:t>The net cash outflow from changes in our operating assets and liabilities was primarily driven by the following:</w:t>
      </w:r>
    </w:p>
    <w:p>
      <w:pPr>
        <w:spacing w:after="0" w:line="90" w:lineRule="exact"/>
        <w:rPr>
          <w:sz w:val="20"/>
          <w:szCs w:val="20"/>
          <w:color w:val="auto"/>
        </w:rPr>
      </w:pPr>
    </w:p>
    <w:p>
      <w:pPr>
        <w:ind w:left="1260" w:hanging="503"/>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$89.2 million decrease in deferred revenue related to the collaboration with Roche;</w:t>
      </w:r>
    </w:p>
    <w:p>
      <w:pPr>
        <w:spacing w:after="0" w:line="90" w:lineRule="exact"/>
        <w:rPr>
          <w:rFonts w:ascii="Arial" w:cs="Arial" w:eastAsia="Arial" w:hAnsi="Arial"/>
          <w:sz w:val="18"/>
          <w:szCs w:val="18"/>
          <w:color w:val="auto"/>
        </w:rPr>
      </w:pPr>
    </w:p>
    <w:p>
      <w:pPr>
        <w:ind w:left="1260" w:right="20" w:hanging="503"/>
        <w:spacing w:after="0" w:line="246"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$83.8 million increase in inventory due our continuing build-up of inventory purchased in 2021 as the demand for our products increased; and</w:t>
      </w:r>
    </w:p>
    <w:p>
      <w:pPr>
        <w:spacing w:after="0" w:line="61" w:lineRule="exact"/>
        <w:rPr>
          <w:rFonts w:ascii="Arial" w:cs="Arial" w:eastAsia="Arial" w:hAnsi="Arial"/>
          <w:sz w:val="18"/>
          <w:szCs w:val="18"/>
          <w:color w:val="auto"/>
        </w:rPr>
      </w:pPr>
    </w:p>
    <w:p>
      <w:pPr>
        <w:ind w:left="760" w:right="260" w:hanging="3"/>
        <w:spacing w:after="0" w:line="344" w:lineRule="auto"/>
        <w:tabs>
          <w:tab w:leader="none" w:pos="12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$51.7 million increase in accounts receivable due to the launch of AMONDYS 45 in 2021 and an increase in demand for our products. These amounts were partially offset by the following:</w:t>
      </w:r>
    </w:p>
    <w:p>
      <w:pPr>
        <w:ind w:left="1260" w:right="460" w:hanging="503"/>
        <w:spacing w:after="0" w:line="246"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$23.3 million increase in accounts payable, accrued expenses, lease liabilities and other liabilities due to the timing and invoicing of payments; and</w:t>
      </w:r>
    </w:p>
    <w:p>
      <w:pPr>
        <w:spacing w:after="0" w:line="61" w:lineRule="exact"/>
        <w:rPr>
          <w:rFonts w:ascii="Arial" w:cs="Arial" w:eastAsia="Arial" w:hAnsi="Arial"/>
          <w:sz w:val="18"/>
          <w:szCs w:val="18"/>
          <w:color w:val="auto"/>
        </w:rPr>
      </w:pPr>
    </w:p>
    <w:p>
      <w:pPr>
        <w:ind w:left="1260" w:hanging="503"/>
        <w:spacing w:after="0" w:line="235"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$103.2 million decrease in other assets primarily due to lower manufacturing-related deposits as a result of the accelerated amortization of nonrefundable advance payments due to capacity changes associated with the execution of the Third Amendment to our manufacturing and supply agreement with Thermo.</w:t>
      </w:r>
    </w:p>
    <w:p>
      <w:pPr>
        <w:spacing w:after="0" w:line="364" w:lineRule="exact"/>
        <w:rPr>
          <w:sz w:val="20"/>
          <w:szCs w:val="20"/>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$108.1 million in stock-based compensation expense;</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$45.0 million in loss on contingent consideration, driven by the mark-to-market adjustment of the contingent consideration liability;</w:t>
      </w:r>
    </w:p>
    <w:p>
      <w:pPr>
        <w:spacing w:after="0" w:line="101" w:lineRule="exact"/>
        <w:rPr>
          <w:rFonts w:ascii="Arial" w:cs="Arial" w:eastAsia="Arial" w:hAnsi="Arial"/>
          <w:sz w:val="17"/>
          <w:szCs w:val="17"/>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$26.9 million in depreciation and amortization expense;</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$25.5 million in non-cash interest expense associated with our debt facilities;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$10.2 million in other non-cash items.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hanging="503"/>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$749.4 million increase in deferred revenue as a result of the collaboration with Roche; and</w:t>
      </w:r>
    </w:p>
    <w:p>
      <w:pPr>
        <w:spacing w:after="0" w:line="90" w:lineRule="exact"/>
        <w:rPr>
          <w:rFonts w:ascii="Arial" w:cs="Arial" w:eastAsia="Arial" w:hAnsi="Arial"/>
          <w:sz w:val="18"/>
          <w:szCs w:val="18"/>
          <w:color w:val="auto"/>
        </w:rPr>
      </w:pPr>
    </w:p>
    <w:p>
      <w:pPr>
        <w:ind w:left="1260" w:right="460" w:hanging="503"/>
        <w:spacing w:after="0" w:line="246"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$42.0 million increase in accounts payable, accrued expenses, lease liabilities and other liabilities due to the timing and invoicing of payments.</w:t>
      </w:r>
    </w:p>
    <w:p>
      <w:pPr>
        <w:spacing w:after="0" w:line="359" w:lineRule="exact"/>
        <w:rPr>
          <w:sz w:val="20"/>
          <w:szCs w:val="20"/>
          <w:color w:val="auto"/>
        </w:rPr>
      </w:pPr>
    </w:p>
    <w:p>
      <w:pPr>
        <w:ind w:left="1260" w:right="280" w:hanging="503"/>
        <w:spacing w:after="0" w:line="246" w:lineRule="auto"/>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$166.3 million increase in other assets primarily due to greater manufacturing-related deposits and prepaids and the establishment of a collaboration receivable associated with the Roche agreement;</w:t>
      </w:r>
    </w:p>
    <w:p>
      <w:pPr>
        <w:spacing w:after="0" w:line="61" w:lineRule="exact"/>
        <w:rPr>
          <w:rFonts w:ascii="Arial" w:cs="Arial" w:eastAsia="Arial" w:hAnsi="Arial"/>
          <w:sz w:val="18"/>
          <w:szCs w:val="18"/>
          <w:color w:val="auto"/>
        </w:rPr>
      </w:pPr>
    </w:p>
    <w:p>
      <w:pPr>
        <w:ind w:left="1260" w:right="20" w:hanging="503"/>
        <w:spacing w:after="0" w:line="246" w:lineRule="auto"/>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$60.6 million increase in inventory due our continuing build-up of inventory purchased in 2020 as the demand for our products increased; and</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$10.5 million increase in accounts receivable due to increase in demand for our products.</w:t>
      </w:r>
    </w:p>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Cash provided by investing activities was $495.4 million in 2021 compared to $121.7 million of cash used in 2020. Cash provided by investing activities in 2021 primarily consisted of the following:</w:t>
      </w:r>
    </w:p>
    <w:p>
      <w:pPr>
        <w:spacing w:after="0" w:line="62" w:lineRule="exact"/>
        <w:rPr>
          <w:sz w:val="20"/>
          <w:szCs w:val="20"/>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$466.0 million of maturity and sales of available-for-sale securities;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$102.0 million of net proceeds related to the sale of the PRV.</w:t>
      </w:r>
    </w:p>
    <w:p>
      <w:pPr>
        <w:spacing w:after="0" w:line="387" w:lineRule="exact"/>
        <w:rPr>
          <w:sz w:val="20"/>
          <w:szCs w:val="20"/>
          <w:color w:val="auto"/>
        </w:rPr>
      </w:pPr>
    </w:p>
    <w:p>
      <w:pPr>
        <w:ind w:left="1260" w:hanging="503"/>
        <w:spacing w:after="0"/>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$38.5 million of purchases of property and equipment due to the continued build-out of our facilities;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$30.0 million of purchases of available-for-sale securities.</w:t>
      </w:r>
    </w:p>
    <w:p>
      <w:pPr>
        <w:spacing w:after="0" w:line="387" w:lineRule="exact"/>
        <w:rPr>
          <w:sz w:val="20"/>
          <w:szCs w:val="20"/>
          <w:color w:val="auto"/>
        </w:rPr>
      </w:pPr>
    </w:p>
    <w:p>
      <w:pPr>
        <w:ind w:left="1260" w:hanging="503"/>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$1.3 billion of purchases of available-for-sale securities; and</w:t>
      </w:r>
    </w:p>
    <w:p>
      <w:pPr>
        <w:spacing w:after="0" w:line="90" w:lineRule="exact"/>
        <w:rPr>
          <w:rFonts w:ascii="Arial" w:cs="Arial" w:eastAsia="Arial" w:hAnsi="Arial"/>
          <w:sz w:val="18"/>
          <w:szCs w:val="18"/>
          <w:color w:val="auto"/>
        </w:rPr>
      </w:pPr>
    </w:p>
    <w:p>
      <w:pPr>
        <w:ind w:left="760" w:right="2680" w:hanging="3"/>
        <w:spacing w:after="0" w:line="344" w:lineRule="auto"/>
        <w:tabs>
          <w:tab w:leader="none" w:pos="12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$82.2 million of purchases of property and equipment due to the continued build-out of our facilities. These amounts were partially offset by the following:</w:t>
      </w:r>
    </w:p>
    <w:p>
      <w:pPr>
        <w:ind w:left="1260" w:hanging="503"/>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$1.2 billion of maturity and sales of available-for-sale securities;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82" w:name="page83"/>
    <w:bookmarkEnd w:id="82"/>
    <w:p>
      <w:pPr>
        <w:ind w:left="1260" w:hanging="503"/>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$108.1 million of net proceeds related to the sale of the PRV.</w:t>
      </w:r>
    </w:p>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Cash provided by financing activities was $561.6 million in 2021 compared to $682.3 million in 2020. Cash provided by financing activities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2021 consisted primarily of the following:</w:t>
      </w:r>
    </w:p>
    <w:p>
      <w:pPr>
        <w:spacing w:after="0" w:line="74" w:lineRule="exact"/>
        <w:rPr>
          <w:sz w:val="20"/>
          <w:szCs w:val="20"/>
          <w:color w:val="auto"/>
        </w:rPr>
      </w:pPr>
    </w:p>
    <w:p>
      <w:pPr>
        <w:ind w:left="1260" w:hanging="503"/>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$548.5 million in proceeds from the issuance of common stock;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$20.8 million in proceeds from exercise of options and our employee stock purchase program.</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amounts were partially offset by $7.8 million of taxes paid related to net share settlement of equity awards.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provided by financing activities in 2020 primarily consisted of the following:</w:t>
      </w:r>
    </w:p>
    <w:p>
      <w:pPr>
        <w:spacing w:after="0" w:line="90" w:lineRule="exact"/>
        <w:rPr>
          <w:sz w:val="20"/>
          <w:szCs w:val="20"/>
          <w:color w:val="auto"/>
        </w:rPr>
      </w:pPr>
    </w:p>
    <w:p>
      <w:pPr>
        <w:ind w:left="1260" w:hanging="503"/>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$312.1 million in proceeds from the issuance of common stock to Roche;</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$291.2 million in proceeds from term loans, driven by the drawdown of our term loan;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$84.0 million in proceeds from exercise of options and our employee stock purchase program.</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amounts were partially offset by $4.8 million of taxes paid related to net share settlement of equity awards.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for another contractually narrow or limited purpose. As such, we have no off-balance sheet arrangements as defined by Regulation S-K of the Securities Act of 1933.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Payment Obligations</w:t>
      </w:r>
    </w:p>
    <w:p>
      <w:pPr>
        <w:spacing w:after="0" w:line="10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In our continuing operations, we have entered into long-term contractual arrangements from time to time for our facilities, the provision of goods and services, and issuance of debt securities, among others. As of December 31, 2021, total obligations under debt, lease, and manufacturing arrangements were $1.3 billion, $64.2 million, and $1.2 billion, respectively. Additional information regarding our obligations under debt, lease, and manufacturing</w:t>
      </w:r>
    </w:p>
    <w:p>
      <w:pPr>
        <w:ind w:right="560"/>
        <w:spacing w:after="0" w:line="243" w:lineRule="auto"/>
        <w:rPr>
          <w:sz w:val="20"/>
          <w:szCs w:val="20"/>
          <w:color w:val="auto"/>
        </w:rPr>
      </w:pPr>
      <w:r>
        <w:rPr>
          <w:rFonts w:ascii="Arial" w:cs="Arial" w:eastAsia="Arial" w:hAnsi="Arial"/>
          <w:sz w:val="18"/>
          <w:szCs w:val="18"/>
          <w:color w:val="auto"/>
        </w:rPr>
        <w:t xml:space="preserve">arrangements is provided in </w:t>
      </w:r>
      <w:r>
        <w:rPr>
          <w:rFonts w:ascii="Arial" w:cs="Arial" w:eastAsia="Arial" w:hAnsi="Arial"/>
          <w:sz w:val="18"/>
          <w:szCs w:val="18"/>
          <w:i w:val="1"/>
          <w:iCs w:val="1"/>
          <w:color w:val="auto"/>
        </w:rPr>
        <w:t>Note 13, Indebtedness, Note 19, Leases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21, Commitments and Contingencies</w:t>
      </w:r>
      <w:r>
        <w:rPr>
          <w:rFonts w:ascii="Arial" w:cs="Arial" w:eastAsia="Arial" w:hAnsi="Arial"/>
          <w:sz w:val="18"/>
          <w:szCs w:val="18"/>
          <w:color w:val="auto"/>
        </w:rPr>
        <w:t>, respectively, to the consolidated financial statements contained in Item 8. Financial Statements and Supplementary Data.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Obligations</w:t>
      </w:r>
    </w:p>
    <w:p>
      <w:pPr>
        <w:spacing w:after="0" w:line="94" w:lineRule="exact"/>
        <w:rPr>
          <w:sz w:val="20"/>
          <w:szCs w:val="20"/>
          <w:color w:val="auto"/>
        </w:rPr>
      </w:pPr>
    </w:p>
    <w:p>
      <w:pPr>
        <w:ind w:right="60" w:firstLine="749"/>
        <w:spacing w:after="0" w:line="241" w:lineRule="auto"/>
        <w:rPr>
          <w:sz w:val="20"/>
          <w:szCs w:val="20"/>
          <w:color w:val="auto"/>
        </w:rPr>
      </w:pPr>
      <w:r>
        <w:rPr>
          <w:rFonts w:ascii="Arial" w:cs="Arial" w:eastAsia="Arial" w:hAnsi="Arial"/>
          <w:sz w:val="16"/>
          <w:szCs w:val="16"/>
          <w:color w:val="auto"/>
        </w:rPr>
        <w:t>For products and product candidates that are currently in various research and development stages, we may be obligated to make up to $4.0 billion of future development, regulatory, up-front royalty and sales milestone payments associated with our collaboration and license agreements. Payments under these agreements generally become due and payable upon achievement of certain development, regulatory or commercial milestones. Because the achievement of these milestones is not probable and payment is not required as of December 31, 2021, such contingencies have not been recorded in our consolidated financial statements. Amounts related to contingent milestone payments are not yet considered contractual obligations as they are contingent on the successful achievement of certain development, regulatory approval and commercial milestones.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Funding Commitments</w:t>
      </w:r>
    </w:p>
    <w:p>
      <w:pPr>
        <w:spacing w:after="0" w:line="81" w:lineRule="exact"/>
        <w:rPr>
          <w:sz w:val="20"/>
          <w:szCs w:val="20"/>
          <w:color w:val="auto"/>
        </w:rPr>
      </w:pPr>
    </w:p>
    <w:p>
      <w:pPr>
        <w:ind w:right="160" w:firstLine="749"/>
        <w:spacing w:after="0" w:line="224" w:lineRule="auto"/>
        <w:rPr>
          <w:sz w:val="20"/>
          <w:szCs w:val="20"/>
          <w:color w:val="auto"/>
        </w:rPr>
      </w:pPr>
      <w:r>
        <w:rPr>
          <w:rFonts w:ascii="Arial" w:cs="Arial" w:eastAsia="Arial" w:hAnsi="Arial"/>
          <w:sz w:val="18"/>
          <w:szCs w:val="18"/>
          <w:color w:val="auto"/>
        </w:rPr>
        <w:t>We have several on-going clinical trials in various stages. Our most significant clinical trial expenditures are to CROs. The CRO contracts are generally cancellable at our option. As of December 31, 2021, we had approximately $378.5 million in cancellable future commitments based on existing CRO contracts.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Please read </w:t>
      </w:r>
      <w:r>
        <w:rPr>
          <w:rFonts w:ascii="Arial" w:cs="Arial" w:eastAsia="Arial" w:hAnsi="Arial"/>
          <w:sz w:val="16"/>
          <w:szCs w:val="16"/>
          <w:i w:val="1"/>
          <w:iCs w:val="1"/>
          <w:color w:val="auto"/>
        </w:rPr>
        <w:t>Note 2, Summary of Significant Accounting Policies and Recent Accounting Pronouncements</w:t>
      </w:r>
      <w:r>
        <w:rPr>
          <w:rFonts w:ascii="Arial" w:cs="Arial" w:eastAsia="Arial" w:hAnsi="Arial"/>
          <w:sz w:val="16"/>
          <w:szCs w:val="16"/>
          <w:color w:val="auto"/>
        </w:rPr>
        <w:t xml:space="preserve"> to the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included elsewhere in this Annual Report on Form 10-K.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94" w:lineRule="exact"/>
        <w:rPr>
          <w:sz w:val="20"/>
          <w:szCs w:val="20"/>
          <w:color w:val="auto"/>
        </w:rPr>
      </w:pPr>
    </w:p>
    <w:p>
      <w:pPr>
        <w:jc w:val="both"/>
        <w:ind w:right="380" w:firstLine="749"/>
        <w:spacing w:after="0" w:line="224" w:lineRule="auto"/>
        <w:rPr>
          <w:sz w:val="20"/>
          <w:szCs w:val="20"/>
          <w:color w:val="auto"/>
        </w:rPr>
      </w:pPr>
      <w:r>
        <w:rPr>
          <w:rFonts w:ascii="Arial" w:cs="Arial" w:eastAsia="Arial" w:hAnsi="Arial"/>
          <w:sz w:val="18"/>
          <w:szCs w:val="18"/>
          <w:color w:val="auto"/>
        </w:rPr>
        <w:t>Our current investment policy is to maintain a diversified investment portfolio consisting of money market investments, commercial paper, government and government agency bonds and high-grade corporate bonds with maturities of 36 months or less. Our cash is deposited in and invested through highly rated financial institutions in the U.S. As of December 31, 2021, we had $2,125.8</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83" w:name="page84"/>
    <w:bookmarkEnd w:id="83"/>
    <w:p>
      <w:pPr>
        <w:ind w:right="460" w:firstLine="45"/>
        <w:spacing w:after="0" w:line="258" w:lineRule="auto"/>
        <w:rPr>
          <w:sz w:val="20"/>
          <w:szCs w:val="20"/>
          <w:color w:val="auto"/>
        </w:rPr>
      </w:pPr>
      <w:r>
        <w:rPr>
          <w:rFonts w:ascii="Arial" w:cs="Arial" w:eastAsia="Arial" w:hAnsi="Arial"/>
          <w:sz w:val="17"/>
          <w:szCs w:val="17"/>
          <w:color w:val="auto"/>
        </w:rPr>
        <w:t>million of cash, cash equivalents and investments, comprised of $2,115.9 million of cash and cash equivalents and $9.9 million of restricted cash and investments. The Company did not hold any investments in interest rate sensitive instruments as of December 31,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81" w:lineRule="exact"/>
        <w:rPr>
          <w:sz w:val="20"/>
          <w:szCs w:val="20"/>
          <w:color w:val="auto"/>
        </w:rPr>
      </w:pPr>
    </w:p>
    <w:p>
      <w:pPr>
        <w:ind w:right="220" w:firstLine="749"/>
        <w:spacing w:after="0" w:line="235" w:lineRule="auto"/>
        <w:rPr>
          <w:sz w:val="20"/>
          <w:szCs w:val="20"/>
          <w:color w:val="auto"/>
        </w:rPr>
      </w:pPr>
      <w:r>
        <w:rPr>
          <w:rFonts w:ascii="Arial" w:cs="Arial" w:eastAsia="Arial" w:hAnsi="Arial"/>
          <w:sz w:val="18"/>
          <w:szCs w:val="18"/>
          <w:color w:val="auto"/>
        </w:rPr>
        <w:t>The information required by this Item 8 begins on page F-1 in Item 15 of Part IV of this Annual Report on Form 10-K and is incorporated into this item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77" w:lineRule="exact"/>
        <w:rPr>
          <w:sz w:val="20"/>
          <w:szCs w:val="20"/>
          <w:color w:val="auto"/>
        </w:rPr>
      </w:pPr>
    </w:p>
    <w:p>
      <w:pPr>
        <w:ind w:right="40" w:firstLine="749"/>
        <w:spacing w:after="0" w:line="225" w:lineRule="auto"/>
        <w:rPr>
          <w:sz w:val="20"/>
          <w:szCs w:val="20"/>
          <w:color w:val="auto"/>
        </w:rPr>
      </w:pPr>
      <w:r>
        <w:rPr>
          <w:rFonts w:ascii="Arial" w:cs="Arial" w:eastAsia="Arial" w:hAnsi="Arial"/>
          <w:sz w:val="17"/>
          <w:szCs w:val="17"/>
          <w:color w:val="auto"/>
        </w:rPr>
        <w:t>We carried out an evaluation as of the end of the period covered by this Annual Report on Form 10-K, under the supervision and with the participation of our management, including our principal executive officer and principal financial officer, of the effectiveness of our disclosure controls and procedures pursuant to paragraph (b) of Rule 13a-15 and 15d-15 under the Exchange Act. Based on that review, the principal executive officer and principal financial officer have concluded that our disclosure controls and procedures are effective to ensure that information required to be disclosed by us in the reports we file or submit under the Exchange Act (1) is recorded, processed, summarized, and reported within the time periods specified in the SEC rules and forms, and (2) is accumulated and communicated to our management, including our principal executive officer and principal financial officer, as appropriate to allow timely decisions regarding required disclosure.</w:t>
      </w:r>
    </w:p>
    <w:p>
      <w:pPr>
        <w:spacing w:after="0" w:line="162" w:lineRule="exact"/>
        <w:rPr>
          <w:sz w:val="20"/>
          <w:szCs w:val="20"/>
          <w:color w:val="auto"/>
        </w:rPr>
      </w:pPr>
    </w:p>
    <w:p>
      <w:pPr>
        <w:ind w:right="60" w:firstLine="749"/>
        <w:spacing w:after="0" w:line="239" w:lineRule="auto"/>
        <w:rPr>
          <w:sz w:val="20"/>
          <w:szCs w:val="20"/>
          <w:color w:val="auto"/>
        </w:rPr>
      </w:pPr>
      <w:r>
        <w:rPr>
          <w:rFonts w:ascii="Arial" w:cs="Arial" w:eastAsia="Arial" w:hAnsi="Arial"/>
          <w:sz w:val="16"/>
          <w:szCs w:val="16"/>
          <w:color w:val="auto"/>
        </w:rPr>
        <w:t>We do not expect that our disclosure controls and procedures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We considered these limitations during the development of our disclosure controls and procedures, and will continually reevaluate them to ensure they provide reasonable assurance that such controls and procedures are effective.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77" w:lineRule="exact"/>
        <w:rPr>
          <w:sz w:val="20"/>
          <w:szCs w:val="20"/>
          <w:color w:val="auto"/>
        </w:rPr>
      </w:pPr>
    </w:p>
    <w:p>
      <w:pPr>
        <w:ind w:right="140" w:firstLine="749"/>
        <w:spacing w:after="0" w:line="23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our Company, as such term is defined in Rules 13a-15(f) and 15d-15(f) under the Exchange Act.</w:t>
      </w:r>
    </w:p>
    <w:p>
      <w:pPr>
        <w:spacing w:after="0" w:line="162" w:lineRule="exact"/>
        <w:rPr>
          <w:sz w:val="20"/>
          <w:szCs w:val="20"/>
          <w:color w:val="auto"/>
        </w:rPr>
      </w:pPr>
    </w:p>
    <w:p>
      <w:pPr>
        <w:ind w:right="100" w:firstLine="749"/>
        <w:spacing w:after="0" w:line="224" w:lineRule="auto"/>
        <w:rPr>
          <w:sz w:val="20"/>
          <w:szCs w:val="20"/>
          <w:color w:val="auto"/>
        </w:rPr>
      </w:pPr>
      <w:r>
        <w:rPr>
          <w:rFonts w:ascii="Arial" w:cs="Arial" w:eastAsia="Arial" w:hAnsi="Arial"/>
          <w:sz w:val="18"/>
          <w:szCs w:val="18"/>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5" w:lineRule="exact"/>
        <w:rPr>
          <w:sz w:val="20"/>
          <w:szCs w:val="20"/>
          <w:color w:val="auto"/>
        </w:rPr>
      </w:pPr>
    </w:p>
    <w:p>
      <w:pPr>
        <w:ind w:left="1260" w:hanging="503"/>
        <w:spacing w:after="0"/>
        <w:tabs>
          <w:tab w:leader="none" w:pos="1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99" w:lineRule="exact"/>
        <w:rPr>
          <w:rFonts w:ascii="Arial" w:cs="Arial" w:eastAsia="Arial" w:hAnsi="Arial"/>
          <w:sz w:val="16"/>
          <w:szCs w:val="16"/>
          <w:color w:val="auto"/>
        </w:rPr>
      </w:pPr>
    </w:p>
    <w:p>
      <w:pPr>
        <w:ind w:left="1260" w:right="40" w:hanging="503"/>
        <w:spacing w:after="0" w:line="224"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4" w:lineRule="exact"/>
        <w:rPr>
          <w:rFonts w:ascii="Arial" w:cs="Arial" w:eastAsia="Arial" w:hAnsi="Arial"/>
          <w:sz w:val="18"/>
          <w:szCs w:val="18"/>
          <w:color w:val="auto"/>
        </w:rPr>
      </w:pPr>
    </w:p>
    <w:p>
      <w:pPr>
        <w:ind w:left="1260" w:right="280" w:hanging="503"/>
        <w:spacing w:after="0" w:line="235"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ind w:firstLine="749"/>
        <w:spacing w:after="0" w:line="228"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2021. In making this assessment, management used the criteria set forth by the </w:t>
      </w:r>
      <w:r>
        <w:rPr>
          <w:rFonts w:ascii="Arial" w:cs="Arial" w:eastAsia="Arial" w:hAnsi="Arial"/>
          <w:sz w:val="17"/>
          <w:szCs w:val="17"/>
          <w:i w:val="1"/>
          <w:iCs w:val="1"/>
          <w:color w:val="auto"/>
        </w:rPr>
        <w:t>Committee of Sponsoring Organizations of the Treadway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Commission </w:t>
      </w:r>
      <w:r>
        <w:rPr>
          <w:rFonts w:ascii="Arial" w:cs="Arial" w:eastAsia="Arial" w:hAnsi="Arial"/>
          <w:sz w:val="17"/>
          <w:szCs w:val="17"/>
          <w:color w:val="auto"/>
        </w:rPr>
        <w:t>(“COSO”) in its 2013 Internal Control Integrated Framework.</w:t>
      </w:r>
    </w:p>
    <w:p>
      <w:pPr>
        <w:spacing w:after="0" w:line="165" w:lineRule="exact"/>
        <w:rPr>
          <w:sz w:val="20"/>
          <w:szCs w:val="20"/>
          <w:color w:val="auto"/>
        </w:rPr>
      </w:pPr>
    </w:p>
    <w:p>
      <w:pPr>
        <w:ind w:right="160" w:firstLine="749"/>
        <w:spacing w:after="0" w:line="235" w:lineRule="auto"/>
        <w:rPr>
          <w:sz w:val="20"/>
          <w:szCs w:val="20"/>
          <w:color w:val="auto"/>
        </w:rPr>
      </w:pPr>
      <w:r>
        <w:rPr>
          <w:rFonts w:ascii="Arial" w:cs="Arial" w:eastAsia="Arial" w:hAnsi="Arial"/>
          <w:sz w:val="18"/>
          <w:szCs w:val="18"/>
          <w:color w:val="auto"/>
        </w:rPr>
        <w:t>Based on this assessment, management has concluded that, as of December 31, 2021, our internal control over financial reporting was effective based on those criteria.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84" w:name="page85"/>
    <w:bookmarkEnd w:id="84"/>
    <w:p>
      <w:pPr>
        <w:ind w:right="40" w:firstLine="749"/>
        <w:spacing w:after="0" w:line="235"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KPMG LLP, an independent registered public accounting firm, as stated in their report which appears in this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ind w:firstLine="749"/>
        <w:spacing w:after="0" w:line="224" w:lineRule="auto"/>
        <w:rPr>
          <w:sz w:val="20"/>
          <w:szCs w:val="20"/>
          <w:color w:val="auto"/>
        </w:rPr>
      </w:pPr>
      <w:r>
        <w:rPr>
          <w:rFonts w:ascii="Arial" w:cs="Arial" w:eastAsia="Arial" w:hAnsi="Arial"/>
          <w:sz w:val="18"/>
          <w:szCs w:val="18"/>
          <w:color w:val="auto"/>
        </w:rPr>
        <w:t>There have not been material changes in our internal control over financial reporting as defined in Rules 13a–15(f) and 15d–15(f) under the Exchange Act for the quarter ended December 31, 2021 that our certifying officers concluded materially affected, or are reasonably likely to materially affect, our internal control over financial reporting.</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30" w:right="699" w:bottom="1440" w:gutter="0" w:footer="0" w:header="0"/>
        </w:sectPr>
      </w:pPr>
    </w:p>
    <w:bookmarkStart w:id="85" w:name="page86"/>
    <w:bookmarkEnd w:id="85"/>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08"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The information regarding our directors and executive officers required by this item will be included in either an amendment to this Annual Report on Form 10-K or in our definitive proxy statement for our 2022 annual meeting of stockholders to be filed with the Commission not later than 120 days after the end of the fiscal year covered by this Annual Report on Form 10-K and is incorporated herein by reference.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08"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2022 annual meeting of stockholders to be filed with the Commission not later than 120 days after the end of the fiscal year covered by this Annual Report on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r>
        <w:rPr>
          <w:rFonts w:ascii="Arial" w:cs="Arial" w:eastAsia="Arial" w:hAnsi="Arial"/>
          <w:sz w:val="18"/>
          <w:szCs w:val="18"/>
          <w:b w:val="1"/>
          <w:bCs w:val="1"/>
          <w:color w:val="auto"/>
        </w:rPr>
        <w:t>.</w:t>
      </w:r>
    </w:p>
    <w:p>
      <w:pPr>
        <w:spacing w:after="0" w:line="108"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2022 annual meeting of stockholders to be filed with the Commission not later than 120 days after the end of the fiscal year covered by this Annual Report on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08"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2022 annual meeting of stockholders to be filed with the Commission not later than 120 days after the end of the fiscal year covered by this Annual Report on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08"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The information required by this item will be included in either an amendment to this Annual Report on Form 10-K or in our definitive proxy statement for our 2022 annual meeting of stockholders to be filed with the Commission not later than 120 days after the end of the fiscal year covered by this Annual Report on Form 10-K and is incorporated herein by reference.</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0" w:type="dxa"/>
            <w:vAlign w:val="bottom"/>
            <w:gridSpan w:val="2"/>
          </w:tcPr>
          <w:p>
            <w:pPr>
              <w:ind w:left="56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0"/>
                <w:szCs w:val="20"/>
                <w:color w:val="auto"/>
              </w:rPr>
            </w:pPr>
          </w:p>
        </w:tc>
      </w:tr>
      <w:tr>
        <w:trPr>
          <w:trHeight w:val="405"/>
        </w:trPr>
        <w:tc>
          <w:tcPr>
            <w:tcW w:w="1090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32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880" w:type="dxa"/>
            <w:vAlign w:val="bottom"/>
            <w:gridSpan w:val="8"/>
          </w:tcPr>
          <w:p>
            <w:pPr>
              <w:ind w:left="740"/>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32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10880" w:type="dxa"/>
            <w:vAlign w:val="bottom"/>
            <w:gridSpan w:val="8"/>
          </w:tcPr>
          <w:p>
            <w:pPr>
              <w:ind w:left="740"/>
              <w:spacing w:after="0"/>
              <w:rPr>
                <w:sz w:val="20"/>
                <w:szCs w:val="20"/>
                <w:color w:val="auto"/>
              </w:rPr>
            </w:pPr>
            <w:r>
              <w:rPr>
                <w:rFonts w:ascii="Arial" w:cs="Arial" w:eastAsia="Arial" w:hAnsi="Arial"/>
                <w:sz w:val="18"/>
                <w:szCs w:val="18"/>
                <w:i w:val="1"/>
                <w:iCs w:val="1"/>
                <w:color w:val="auto"/>
              </w:rPr>
              <w:t>(1) Financial Statements</w:t>
            </w:r>
          </w:p>
        </w:tc>
        <w:tc>
          <w:tcPr>
            <w:tcW w:w="3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10880" w:type="dxa"/>
            <w:vAlign w:val="bottom"/>
            <w:gridSpan w:val="8"/>
          </w:tcPr>
          <w:p>
            <w:pPr>
              <w:ind w:left="740"/>
              <w:spacing w:after="0"/>
              <w:rPr>
                <w:sz w:val="20"/>
                <w:szCs w:val="20"/>
                <w:color w:val="auto"/>
              </w:rPr>
            </w:pPr>
            <w:r>
              <w:rPr>
                <w:rFonts w:ascii="Arial" w:cs="Arial" w:eastAsia="Arial" w:hAnsi="Arial"/>
                <w:sz w:val="18"/>
                <w:szCs w:val="18"/>
                <w:color w:val="auto"/>
                <w:w w:val="92"/>
              </w:rPr>
              <w:t>The following consolidated financial statements of the Company and the Report of KPMG LLP, Independent Registered Public Accounting</w:t>
            </w:r>
          </w:p>
        </w:tc>
        <w:tc>
          <w:tcPr>
            <w:tcW w:w="320" w:type="dxa"/>
            <w:vAlign w:val="bottom"/>
          </w:tcPr>
          <w:p>
            <w:pPr>
              <w:spacing w:after="0"/>
              <w:rPr>
                <w:sz w:val="24"/>
                <w:szCs w:val="24"/>
                <w:color w:val="auto"/>
              </w:rPr>
            </w:pPr>
          </w:p>
        </w:tc>
      </w:tr>
      <w:tr>
        <w:trPr>
          <w:trHeight w:val="230"/>
        </w:trPr>
        <w:tc>
          <w:tcPr>
            <w:tcW w:w="10900" w:type="dxa"/>
            <w:vAlign w:val="bottom"/>
            <w:gridSpan w:val="9"/>
          </w:tcPr>
          <w:p>
            <w:pPr>
              <w:spacing w:after="0"/>
              <w:rPr>
                <w:sz w:val="20"/>
                <w:szCs w:val="20"/>
                <w:color w:val="auto"/>
              </w:rPr>
            </w:pPr>
            <w:r>
              <w:rPr>
                <w:rFonts w:ascii="Arial" w:cs="Arial" w:eastAsia="Arial" w:hAnsi="Arial"/>
                <w:sz w:val="18"/>
                <w:szCs w:val="18"/>
                <w:color w:val="auto"/>
              </w:rPr>
              <w:t>Firm, are included in Part IV of this Annual Report on Form 10-K on the pages indicated:</w:t>
            </w:r>
          </w:p>
        </w:tc>
        <w:tc>
          <w:tcPr>
            <w:tcW w:w="3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880" w:type="dxa"/>
            <w:vAlign w:val="bottom"/>
            <w:gridSpan w:val="8"/>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Report of Independent Registered Public Accounting Firm (KPMG LLP, Boston, MA, Auditor Firm ID: 185)</w:t>
              </w:r>
            </w:hyperlink>
          </w:p>
        </w:tc>
        <w:tc>
          <w:tcPr>
            <w:tcW w:w="320" w:type="dxa"/>
            <w:vAlign w:val="bottom"/>
          </w:tcPr>
          <w:p>
            <w:pPr>
              <w:ind w:left="80"/>
              <w:spacing w:after="0"/>
              <w:rPr>
                <w:sz w:val="20"/>
                <w:szCs w:val="20"/>
                <w:color w:val="auto"/>
              </w:rPr>
            </w:pPr>
            <w:r>
              <w:rPr>
                <w:rFonts w:ascii="Arial" w:cs="Arial" w:eastAsia="Arial" w:hAnsi="Arial"/>
                <w:sz w:val="18"/>
                <w:szCs w:val="18"/>
                <w:color w:val="auto"/>
                <w:w w:val="81"/>
              </w:rPr>
              <w:t>F-2</w:t>
            </w:r>
          </w:p>
        </w:tc>
      </w:tr>
      <w:tr>
        <w:trPr>
          <w:trHeight w:val="183"/>
        </w:trPr>
        <w:tc>
          <w:tcPr>
            <w:tcW w:w="20" w:type="dxa"/>
            <w:vAlign w:val="bottom"/>
          </w:tcPr>
          <w:p>
            <w:pPr>
              <w:spacing w:after="0"/>
              <w:rPr>
                <w:sz w:val="15"/>
                <w:szCs w:val="15"/>
                <w:color w:val="auto"/>
              </w:rPr>
            </w:pPr>
          </w:p>
        </w:tc>
        <w:tc>
          <w:tcPr>
            <w:tcW w:w="7880" w:type="dxa"/>
            <w:vAlign w:val="bottom"/>
            <w:tcBorders>
              <w:top w:val="single" w:sz="8" w:color="0000EE"/>
            </w:tcBorders>
            <w:gridSpan w:val="7"/>
          </w:tcPr>
          <w:p>
            <w:pPr>
              <w:spacing w:after="0" w:line="182" w:lineRule="exact"/>
              <w:rPr>
                <w:rFonts w:ascii="Arial" w:cs="Arial" w:eastAsia="Arial" w:hAnsi="Arial"/>
                <w:sz w:val="18"/>
                <w:szCs w:val="18"/>
                <w:color w:val="0000FF"/>
              </w:rPr>
            </w:pPr>
            <w:hyperlink w:anchor="page97">
              <w:r>
                <w:rPr>
                  <w:rFonts w:ascii="Arial" w:cs="Arial" w:eastAsia="Arial" w:hAnsi="Arial"/>
                  <w:sz w:val="18"/>
                  <w:szCs w:val="18"/>
                  <w:color w:val="0000FF"/>
                </w:rPr>
                <w:t>Consolidated Balance Sheets</w:t>
              </w:r>
            </w:hyperlink>
          </w:p>
        </w:tc>
        <w:tc>
          <w:tcPr>
            <w:tcW w:w="3000" w:type="dxa"/>
            <w:vAlign w:val="bottom"/>
          </w:tcPr>
          <w:p>
            <w:pPr>
              <w:spacing w:after="0"/>
              <w:rPr>
                <w:sz w:val="15"/>
                <w:szCs w:val="15"/>
                <w:color w:val="auto"/>
              </w:rPr>
            </w:pPr>
          </w:p>
        </w:tc>
        <w:tc>
          <w:tcPr>
            <w:tcW w:w="320" w:type="dxa"/>
            <w:vAlign w:val="bottom"/>
          </w:tcPr>
          <w:p>
            <w:pPr>
              <w:ind w:left="80"/>
              <w:spacing w:after="0" w:line="182" w:lineRule="exact"/>
              <w:rPr>
                <w:sz w:val="20"/>
                <w:szCs w:val="20"/>
                <w:color w:val="auto"/>
              </w:rPr>
            </w:pPr>
            <w:r>
              <w:rPr>
                <w:rFonts w:ascii="Arial" w:cs="Arial" w:eastAsia="Arial" w:hAnsi="Arial"/>
                <w:sz w:val="18"/>
                <w:szCs w:val="18"/>
                <w:color w:val="auto"/>
                <w:w w:val="81"/>
              </w:rPr>
              <w:t>F-4</w:t>
            </w:r>
          </w:p>
        </w:tc>
      </w:tr>
      <w:tr>
        <w:trPr>
          <w:trHeight w:val="183"/>
        </w:trPr>
        <w:tc>
          <w:tcPr>
            <w:tcW w:w="2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tcPr>
          <w:p>
            <w:pPr>
              <w:spacing w:after="0" w:line="182" w:lineRule="exact"/>
              <w:rPr>
                <w:rFonts w:ascii="Arial" w:cs="Arial" w:eastAsia="Arial" w:hAnsi="Arial"/>
                <w:sz w:val="18"/>
                <w:szCs w:val="18"/>
                <w:color w:val="0000FF"/>
                <w:w w:val="94"/>
              </w:rPr>
            </w:pPr>
            <w:hyperlink w:anchor="page98">
              <w:r>
                <w:rPr>
                  <w:rFonts w:ascii="Arial" w:cs="Arial" w:eastAsia="Arial" w:hAnsi="Arial"/>
                  <w:sz w:val="18"/>
                  <w:szCs w:val="18"/>
                  <w:color w:val="0000FF"/>
                  <w:w w:val="94"/>
                </w:rPr>
                <w:t>Consolidated Statements of</w:t>
              </w:r>
            </w:hyperlink>
          </w:p>
        </w:tc>
        <w:tc>
          <w:tcPr>
            <w:tcW w:w="8780" w:type="dxa"/>
            <w:vAlign w:val="bottom"/>
            <w:gridSpan w:val="7"/>
          </w:tcPr>
          <w:p>
            <w:pPr>
              <w:spacing w:after="0" w:line="182" w:lineRule="exact"/>
              <w:rPr>
                <w:rFonts w:ascii="Arial" w:cs="Arial" w:eastAsia="Arial" w:hAnsi="Arial"/>
                <w:sz w:val="18"/>
                <w:szCs w:val="18"/>
                <w:color w:val="0000FF"/>
              </w:rPr>
            </w:pPr>
            <w:hyperlink w:anchor="page98">
              <w:r>
                <w:rPr>
                  <w:rFonts w:ascii="Arial" w:cs="Arial" w:eastAsia="Arial" w:hAnsi="Arial"/>
                  <w:sz w:val="18"/>
                  <w:szCs w:val="18"/>
                  <w:color w:val="0000FF"/>
                </w:rPr>
                <w:t>Operations and Comprehensive Loss</w:t>
              </w:r>
            </w:hyperlink>
          </w:p>
        </w:tc>
        <w:tc>
          <w:tcPr>
            <w:tcW w:w="320" w:type="dxa"/>
            <w:vAlign w:val="bottom"/>
          </w:tcPr>
          <w:p>
            <w:pPr>
              <w:ind w:left="80"/>
              <w:spacing w:after="0" w:line="182" w:lineRule="exact"/>
              <w:rPr>
                <w:sz w:val="20"/>
                <w:szCs w:val="20"/>
                <w:color w:val="auto"/>
              </w:rPr>
            </w:pPr>
            <w:r>
              <w:rPr>
                <w:rFonts w:ascii="Arial" w:cs="Arial" w:eastAsia="Arial" w:hAnsi="Arial"/>
                <w:sz w:val="18"/>
                <w:szCs w:val="18"/>
                <w:color w:val="auto"/>
                <w:w w:val="81"/>
              </w:rPr>
              <w:t>F-5</w:t>
            </w:r>
          </w:p>
        </w:tc>
      </w:tr>
      <w:tr>
        <w:trPr>
          <w:trHeight w:val="183"/>
        </w:trPr>
        <w:tc>
          <w:tcPr>
            <w:tcW w:w="20" w:type="dxa"/>
            <w:vAlign w:val="bottom"/>
            <w:tcBorders>
              <w:top w:val="single" w:sz="8" w:color="0000EE"/>
            </w:tcBorders>
          </w:tcPr>
          <w:p>
            <w:pPr>
              <w:spacing w:after="0"/>
              <w:rPr>
                <w:sz w:val="15"/>
                <w:szCs w:val="15"/>
                <w:color w:val="auto"/>
              </w:rPr>
            </w:pPr>
          </w:p>
        </w:tc>
        <w:tc>
          <w:tcPr>
            <w:tcW w:w="4680" w:type="dxa"/>
            <w:vAlign w:val="bottom"/>
            <w:tcBorders>
              <w:top w:val="single" w:sz="8" w:color="0000EE"/>
            </w:tcBorders>
            <w:gridSpan w:val="6"/>
          </w:tcPr>
          <w:p>
            <w:pPr>
              <w:spacing w:after="0" w:line="182" w:lineRule="exact"/>
              <w:rPr>
                <w:rFonts w:ascii="Arial" w:cs="Arial" w:eastAsia="Arial" w:hAnsi="Arial"/>
                <w:sz w:val="18"/>
                <w:szCs w:val="18"/>
                <w:color w:val="0000FF"/>
              </w:rPr>
            </w:pPr>
            <w:hyperlink w:anchor="page99">
              <w:r>
                <w:rPr>
                  <w:rFonts w:ascii="Arial" w:cs="Arial" w:eastAsia="Arial" w:hAnsi="Arial"/>
                  <w:sz w:val="18"/>
                  <w:szCs w:val="18"/>
                  <w:color w:val="0000FF"/>
                </w:rPr>
                <w:t>Consolidated Statements of Stockholders’ Equity</w:t>
              </w:r>
            </w:hyperlink>
          </w:p>
        </w:tc>
        <w:tc>
          <w:tcPr>
            <w:tcW w:w="6200" w:type="dxa"/>
            <w:vAlign w:val="bottom"/>
            <w:gridSpan w:val="2"/>
          </w:tcPr>
          <w:p>
            <w:pPr>
              <w:spacing w:after="0"/>
              <w:rPr>
                <w:sz w:val="15"/>
                <w:szCs w:val="15"/>
                <w:color w:val="auto"/>
              </w:rPr>
            </w:pPr>
          </w:p>
        </w:tc>
        <w:tc>
          <w:tcPr>
            <w:tcW w:w="320" w:type="dxa"/>
            <w:vAlign w:val="bottom"/>
          </w:tcPr>
          <w:p>
            <w:pPr>
              <w:ind w:left="80"/>
              <w:spacing w:after="0" w:line="182" w:lineRule="exact"/>
              <w:rPr>
                <w:sz w:val="20"/>
                <w:szCs w:val="20"/>
                <w:color w:val="auto"/>
              </w:rPr>
            </w:pPr>
            <w:r>
              <w:rPr>
                <w:rFonts w:ascii="Arial" w:cs="Arial" w:eastAsia="Arial" w:hAnsi="Arial"/>
                <w:sz w:val="18"/>
                <w:szCs w:val="18"/>
                <w:color w:val="auto"/>
                <w:w w:val="81"/>
              </w:rPr>
              <w:t>F-6</w:t>
            </w: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Consolidated Statements of Cash Flows</w:t>
              </w:r>
            </w:hyperlink>
          </w:p>
        </w:tc>
        <w:tc>
          <w:tcPr>
            <w:tcW w:w="660" w:type="dxa"/>
            <w:vAlign w:val="bottom"/>
            <w:tcBorders>
              <w:top w:val="single" w:sz="8" w:color="0000EE"/>
            </w:tcBorders>
            <w:gridSpan w:val="2"/>
          </w:tcPr>
          <w:p>
            <w:pPr>
              <w:spacing w:after="0"/>
              <w:rPr>
                <w:sz w:val="15"/>
                <w:szCs w:val="15"/>
                <w:color w:val="auto"/>
              </w:rPr>
            </w:pPr>
          </w:p>
        </w:tc>
        <w:tc>
          <w:tcPr>
            <w:tcW w:w="7340" w:type="dxa"/>
            <w:vAlign w:val="bottom"/>
            <w:gridSpan w:val="4"/>
          </w:tcPr>
          <w:p>
            <w:pPr>
              <w:spacing w:after="0"/>
              <w:rPr>
                <w:sz w:val="15"/>
                <w:szCs w:val="15"/>
                <w:color w:val="auto"/>
              </w:rPr>
            </w:pPr>
          </w:p>
        </w:tc>
        <w:tc>
          <w:tcPr>
            <w:tcW w:w="320" w:type="dxa"/>
            <w:vAlign w:val="bottom"/>
          </w:tcPr>
          <w:p>
            <w:pPr>
              <w:ind w:left="80"/>
              <w:spacing w:after="0" w:line="182" w:lineRule="exact"/>
              <w:rPr>
                <w:sz w:val="20"/>
                <w:szCs w:val="20"/>
                <w:color w:val="auto"/>
              </w:rPr>
            </w:pPr>
            <w:r>
              <w:rPr>
                <w:rFonts w:ascii="Arial" w:cs="Arial" w:eastAsia="Arial" w:hAnsi="Arial"/>
                <w:sz w:val="18"/>
                <w:szCs w:val="18"/>
                <w:color w:val="auto"/>
                <w:w w:val="81"/>
              </w:rPr>
              <w:t>F-7</w:t>
            </w:r>
          </w:p>
        </w:tc>
      </w:tr>
      <w:tr>
        <w:trPr>
          <w:trHeight w:val="183"/>
        </w:trPr>
        <w:tc>
          <w:tcPr>
            <w:tcW w:w="20" w:type="dxa"/>
            <w:vAlign w:val="bottom"/>
          </w:tcPr>
          <w:p>
            <w:pPr>
              <w:spacing w:after="0"/>
              <w:rPr>
                <w:sz w:val="15"/>
                <w:szCs w:val="15"/>
                <w:color w:val="auto"/>
              </w:rPr>
            </w:pPr>
          </w:p>
        </w:tc>
        <w:tc>
          <w:tcPr>
            <w:tcW w:w="10880" w:type="dxa"/>
            <w:vAlign w:val="bottom"/>
            <w:gridSpan w:val="8"/>
          </w:tcPr>
          <w:p>
            <w:pPr>
              <w:spacing w:after="0" w:line="182" w:lineRule="exact"/>
              <w:rPr>
                <w:rFonts w:ascii="Arial" w:cs="Arial" w:eastAsia="Arial" w:hAnsi="Arial"/>
                <w:sz w:val="18"/>
                <w:szCs w:val="18"/>
                <w:color w:val="0000FF"/>
              </w:rPr>
            </w:pPr>
            <w:hyperlink w:anchor="page101">
              <w:r>
                <w:rPr>
                  <w:rFonts w:ascii="Arial" w:cs="Arial" w:eastAsia="Arial" w:hAnsi="Arial"/>
                  <w:sz w:val="18"/>
                  <w:szCs w:val="18"/>
                  <w:color w:val="0000FF"/>
                </w:rPr>
                <w:t>Notes to Consolidated Financial Statements</w:t>
              </w:r>
            </w:hyperlink>
          </w:p>
        </w:tc>
        <w:tc>
          <w:tcPr>
            <w:tcW w:w="320" w:type="dxa"/>
            <w:vAlign w:val="bottom"/>
          </w:tcPr>
          <w:p>
            <w:pPr>
              <w:ind w:left="80"/>
              <w:spacing w:after="0" w:line="182" w:lineRule="exact"/>
              <w:rPr>
                <w:sz w:val="20"/>
                <w:szCs w:val="20"/>
                <w:color w:val="auto"/>
              </w:rPr>
            </w:pPr>
            <w:r>
              <w:rPr>
                <w:rFonts w:ascii="Arial" w:cs="Arial" w:eastAsia="Arial" w:hAnsi="Arial"/>
                <w:sz w:val="18"/>
                <w:szCs w:val="18"/>
                <w:color w:val="auto"/>
                <w:w w:val="81"/>
              </w:rPr>
              <w:t>F-8</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(2) Financial Statement Schedules</w:t>
      </w:r>
    </w:p>
    <w:p>
      <w:pPr>
        <w:spacing w:after="0" w:line="104"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(3) Exhibits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exhibits required by Item 601 of Regulation S-K are listed in paragraph (b) below.</w:t>
      </w:r>
    </w:p>
    <w:p>
      <w:pPr>
        <w:spacing w:after="0" w:line="32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 Exhibits.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herewith or are incorporated by reference to exhibits filed with the SEC:</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Incorporated by Reference to Filings Indicated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60" w:type="dxa"/>
            <w:vAlign w:val="bottom"/>
            <w:gridSpan w:val="12"/>
            <w:vMerge w:val="restart"/>
          </w:tcPr>
          <w:p>
            <w:pPr>
              <w:ind w:left="8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0"/>
                <w:szCs w:val="10"/>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Filing</w:t>
            </w:r>
          </w:p>
        </w:tc>
        <w:tc>
          <w:tcPr>
            <w:tcW w:w="100" w:type="dxa"/>
            <w:vAlign w:val="bottom"/>
          </w:tcPr>
          <w:p>
            <w:pPr>
              <w:spacing w:after="0"/>
              <w:rPr>
                <w:sz w:val="10"/>
                <w:szCs w:val="10"/>
                <w:color w:val="auto"/>
              </w:rPr>
            </w:pPr>
          </w:p>
        </w:tc>
        <w:tc>
          <w:tcPr>
            <w:tcW w:w="1000" w:type="dxa"/>
            <w:vAlign w:val="bottom"/>
          </w:tcPr>
          <w:p>
            <w:pPr>
              <w:ind w:left="220"/>
              <w:spacing w:after="0" w:line="115" w:lineRule="exact"/>
              <w:rPr>
                <w:sz w:val="20"/>
                <w:szCs w:val="20"/>
                <w:color w:val="auto"/>
              </w:rPr>
            </w:pPr>
            <w:r>
              <w:rPr>
                <w:rFonts w:ascii="Arial" w:cs="Arial" w:eastAsia="Arial" w:hAnsi="Arial"/>
                <w:sz w:val="13"/>
                <w:szCs w:val="13"/>
                <w:b w:val="1"/>
                <w:bCs w:val="1"/>
                <w:color w:val="auto"/>
              </w:rPr>
              <w:t>Provided</w:t>
            </w: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760" w:type="dxa"/>
            <w:vAlign w:val="bottom"/>
          </w:tcPr>
          <w:p>
            <w:pPr>
              <w:ind w:lef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Agreement and Plan of Merger dated June 6, 2013 between</w:t>
              </w:r>
            </w:hyperlink>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8-K12B</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2.1</w:t>
            </w:r>
          </w:p>
        </w:tc>
        <w:tc>
          <w:tcPr>
            <w:tcW w:w="1120" w:type="dxa"/>
            <w:vAlign w:val="bottom"/>
            <w:gridSpan w:val="2"/>
          </w:tcPr>
          <w:p>
            <w:pPr>
              <w:jc w:val="right"/>
              <w:ind w:right="211"/>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Sarepta Therapeutics, Inc., a Delaware corporation, and</w:t>
              </w:r>
            </w:hyperlink>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Sarepta Therapeutics, Inc., an Oregon corporation.</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760" w:type="dxa"/>
            <w:vAlign w:val="bottom"/>
          </w:tcPr>
          <w:p>
            <w:pPr>
              <w:ind w:lef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3640" w:type="dxa"/>
            <w:vAlign w:val="bottom"/>
            <w:tcBorders>
              <w:top w:val="single" w:sz="8" w:color="0000FF"/>
            </w:tcBorders>
            <w:gridSpan w:val="4"/>
          </w:tcPr>
          <w:p>
            <w:pPr>
              <w:spacing w:after="0"/>
              <w:rPr>
                <w:rFonts w:ascii="Arial" w:cs="Arial" w:eastAsia="Arial" w:hAnsi="Arial"/>
                <w:sz w:val="18"/>
                <w:szCs w:val="18"/>
                <w:color w:val="0000FF"/>
                <w:w w:val="90"/>
              </w:rPr>
            </w:pPr>
            <w:hyperlink r:id="rId179">
              <w:r>
                <w:rPr>
                  <w:rFonts w:ascii="Arial" w:cs="Arial" w:eastAsia="Arial" w:hAnsi="Arial"/>
                  <w:sz w:val="18"/>
                  <w:szCs w:val="18"/>
                  <w:color w:val="0000FF"/>
                  <w:w w:val="90"/>
                </w:rPr>
                <w:t>Warrant to Purchase Common Stock of Myonexus</w:t>
              </w:r>
            </w:hyperlink>
          </w:p>
        </w:tc>
        <w:tc>
          <w:tcPr>
            <w:tcW w:w="86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2.1</w:t>
            </w:r>
          </w:p>
        </w:tc>
        <w:tc>
          <w:tcPr>
            <w:tcW w:w="1120" w:type="dxa"/>
            <w:vAlign w:val="bottom"/>
            <w:gridSpan w:val="2"/>
          </w:tcPr>
          <w:p>
            <w:pPr>
              <w:jc w:val="right"/>
              <w:ind w:right="211"/>
              <w:spacing w:after="0"/>
              <w:rPr>
                <w:sz w:val="20"/>
                <w:szCs w:val="20"/>
                <w:color w:val="auto"/>
              </w:rPr>
            </w:pPr>
            <w:r>
              <w:rPr>
                <w:rFonts w:ascii="Arial" w:cs="Arial" w:eastAsia="Arial" w:hAnsi="Arial"/>
                <w:sz w:val="18"/>
                <w:szCs w:val="18"/>
                <w:color w:val="auto"/>
              </w:rPr>
              <w:t>8/8/18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40" w:type="dxa"/>
            <w:vAlign w:val="bottom"/>
            <w:tcBorders>
              <w:top w:val="single" w:sz="8" w:color="0000FF"/>
            </w:tcBorders>
            <w:gridSpan w:val="5"/>
          </w:tcPr>
          <w:p>
            <w:pPr>
              <w:spacing w:after="0" w:line="149" w:lineRule="exact"/>
              <w:rPr>
                <w:rFonts w:ascii="Arial" w:cs="Arial" w:eastAsia="Arial" w:hAnsi="Arial"/>
                <w:sz w:val="17"/>
                <w:szCs w:val="17"/>
                <w:color w:val="0000FF"/>
                <w:w w:val="91"/>
              </w:rPr>
            </w:pPr>
            <w:hyperlink r:id="rId179">
              <w:r>
                <w:rPr>
                  <w:rFonts w:ascii="Arial" w:cs="Arial" w:eastAsia="Arial" w:hAnsi="Arial"/>
                  <w:sz w:val="17"/>
                  <w:szCs w:val="17"/>
                  <w:color w:val="0000FF"/>
                  <w:w w:val="91"/>
                </w:rPr>
                <w:t>Therapeutics, Inc., issued by Myonexus Therapeutics,</w:t>
              </w:r>
            </w:hyperlink>
          </w:p>
        </w:tc>
        <w:tc>
          <w:tcPr>
            <w:tcW w:w="20" w:type="dxa"/>
            <w:vAlign w:val="bottom"/>
          </w:tcPr>
          <w:p>
            <w:pPr>
              <w:spacing w:after="0"/>
              <w:rPr>
                <w:sz w:val="12"/>
                <w:szCs w:val="12"/>
                <w:color w:val="auto"/>
              </w:rPr>
            </w:pPr>
          </w:p>
        </w:tc>
        <w:tc>
          <w:tcPr>
            <w:tcW w:w="740" w:type="dxa"/>
            <w:vAlign w:val="bottom"/>
            <w:gridSpan w:val="7"/>
          </w:tcPr>
          <w:p>
            <w:pPr>
              <w:ind w:left="180"/>
              <w:spacing w:after="0" w:line="149" w:lineRule="exact"/>
              <w:rPr>
                <w:rFonts w:ascii="Arial" w:cs="Arial" w:eastAsia="Arial" w:hAnsi="Arial"/>
                <w:sz w:val="17"/>
                <w:szCs w:val="17"/>
                <w:color w:val="0000FF"/>
              </w:rPr>
            </w:pPr>
            <w:hyperlink r:id="rId179">
              <w:r>
                <w:rPr>
                  <w:rFonts w:ascii="Arial" w:cs="Arial" w:eastAsia="Arial" w:hAnsi="Arial"/>
                  <w:sz w:val="17"/>
                  <w:szCs w:val="17"/>
                  <w:color w:val="0000FF"/>
                </w:rPr>
                <w:t>Inc. to</w:t>
              </w:r>
            </w:hyperlink>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Sarepta Therapeutics, Inc., dated as of May 3, 2018.</w:t>
              </w:r>
            </w:hyperlink>
          </w:p>
        </w:tc>
        <w:tc>
          <w:tcPr>
            <w:tcW w:w="68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760" w:type="dxa"/>
            <w:vAlign w:val="bottom"/>
          </w:tcPr>
          <w:p>
            <w:pPr>
              <w:ind w:lef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8"/>
                <w:szCs w:val="18"/>
                <w:color w:val="0000FF"/>
              </w:rPr>
            </w:pPr>
            <w:hyperlink r:id="rId180">
              <w:r>
                <w:rPr>
                  <w:rFonts w:ascii="Arial" w:cs="Arial" w:eastAsia="Arial" w:hAnsi="Arial"/>
                  <w:sz w:val="18"/>
                  <w:szCs w:val="18"/>
                  <w:color w:val="0000FF"/>
                </w:rPr>
                <w:t>Amended and Restated Certificate of Incorporation</w:t>
              </w:r>
              <w:r>
                <w:rPr>
                  <w:rFonts w:ascii="Arial" w:cs="Arial" w:eastAsia="Arial" w:hAnsi="Arial"/>
                  <w:sz w:val="18"/>
                  <w:szCs w:val="18"/>
                  <w:color w:val="000000"/>
                </w:rPr>
                <w:t>.</w:t>
              </w:r>
            </w:hyperlink>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8-K12B</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120" w:type="dxa"/>
            <w:vAlign w:val="bottom"/>
            <w:gridSpan w:val="2"/>
          </w:tcPr>
          <w:p>
            <w:pPr>
              <w:jc w:val="right"/>
              <w:ind w:right="211"/>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120" w:type="dxa"/>
            <w:vAlign w:val="bottom"/>
            <w:tcBorders>
              <w:bottom w:val="single" w:sz="8" w:color="0000FF"/>
            </w:tcBorders>
            <w:gridSpan w:val="9"/>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Amendment to the Amended and Restated Certificate of</w:t>
              </w:r>
            </w:hyperlink>
          </w:p>
        </w:tc>
        <w:tc>
          <w:tcPr>
            <w:tcW w:w="3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6/30/15</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vMerge w:val="restart"/>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Incorporation.</w:t>
              </w:r>
            </w:hyperlink>
          </w:p>
        </w:tc>
        <w:tc>
          <w:tcPr>
            <w:tcW w:w="3460" w:type="dxa"/>
            <w:vAlign w:val="bottom"/>
            <w:gridSpan w:val="12"/>
            <w:vMerge w:val="restart"/>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bottom w:val="single" w:sz="8" w:color="0000FF"/>
            </w:tcBorders>
            <w:vMerge w:val="continue"/>
          </w:tcPr>
          <w:p>
            <w:pPr>
              <w:spacing w:after="0"/>
              <w:rPr>
                <w:sz w:val="3"/>
                <w:szCs w:val="3"/>
                <w:color w:val="auto"/>
              </w:rPr>
            </w:pPr>
          </w:p>
        </w:tc>
        <w:tc>
          <w:tcPr>
            <w:tcW w:w="3460" w:type="dxa"/>
            <w:vAlign w:val="bottom"/>
            <w:gridSpan w:val="1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0" w:type="dxa"/>
            <w:vAlign w:val="bottom"/>
          </w:tcPr>
          <w:p>
            <w:pPr>
              <w:ind w:lef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Amended and Restated Bylaws.</w:t>
              </w:r>
            </w:hyperlink>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120" w:type="dxa"/>
            <w:vAlign w:val="bottom"/>
            <w:gridSpan w:val="2"/>
          </w:tcPr>
          <w:p>
            <w:pPr>
              <w:jc w:val="right"/>
              <w:ind w:right="211"/>
              <w:spacing w:after="0"/>
              <w:rPr>
                <w:sz w:val="20"/>
                <w:szCs w:val="20"/>
                <w:color w:val="auto"/>
              </w:rPr>
            </w:pPr>
            <w:r>
              <w:rPr>
                <w:rFonts w:ascii="Arial" w:cs="Arial" w:eastAsia="Arial" w:hAnsi="Arial"/>
                <w:sz w:val="18"/>
                <w:szCs w:val="18"/>
                <w:color w:val="auto"/>
              </w:rPr>
              <w:t>9/25/14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Borders>
              <w:right w:val="single" w:sz="8" w:color="0000EE"/>
            </w:tcBorders>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60" w:type="dxa"/>
            <w:vAlign w:val="bottom"/>
          </w:tcPr>
          <w:p>
            <w:pPr>
              <w:ind w:lef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Amendment No. 1 to the Amended and Restated Bylaws.</w:t>
              </w:r>
            </w:hyperlink>
          </w:p>
        </w:tc>
        <w:tc>
          <w:tcPr>
            <w:tcW w:w="3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120" w:type="dxa"/>
            <w:vAlign w:val="bottom"/>
            <w:gridSpan w:val="2"/>
          </w:tcPr>
          <w:p>
            <w:pPr>
              <w:jc w:val="right"/>
              <w:ind w:right="211"/>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 w:type="dxa"/>
            <w:vAlign w:val="bottom"/>
          </w:tcPr>
          <w:p>
            <w:pPr>
              <w:ind w:lef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8"/>
                <w:szCs w:val="18"/>
                <w:color w:val="0000FF"/>
              </w:rPr>
            </w:pPr>
            <w:hyperlink r:id="rId184">
              <w:r>
                <w:rPr>
                  <w:rFonts w:ascii="Arial" w:cs="Arial" w:eastAsia="Arial" w:hAnsi="Arial"/>
                  <w:sz w:val="18"/>
                  <w:szCs w:val="18"/>
                  <w:color w:val="0000FF"/>
                </w:rPr>
                <w:t>Certificate of Amendment to the Amended and Restated</w:t>
              </w:r>
            </w:hyperlink>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6/8/2020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Certificate of Incorporation of Sarepta Therapeutics, Inc.</w:t>
              </w:r>
            </w:hyperlink>
          </w:p>
        </w:tc>
        <w:tc>
          <w:tcPr>
            <w:tcW w:w="20" w:type="dxa"/>
            <w:vAlign w:val="bottom"/>
            <w:tcBorders>
              <w:top w:val="single" w:sz="8" w:color="0000FF"/>
            </w:tcBorders>
          </w:tcPr>
          <w:p>
            <w:pPr>
              <w:spacing w:after="0"/>
              <w:rPr>
                <w:sz w:val="12"/>
                <w:szCs w:val="12"/>
                <w:color w:val="auto"/>
              </w:rPr>
            </w:pPr>
          </w:p>
        </w:tc>
        <w:tc>
          <w:tcPr>
            <w:tcW w:w="3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760" w:type="dxa"/>
            <w:vAlign w:val="bottom"/>
          </w:tcPr>
          <w:p>
            <w:pPr>
              <w:ind w:lef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Specimen Certificate for Common Stock.</w:t>
              </w:r>
            </w:hyperlink>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001-14895</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jc w:val="right"/>
              <w:ind w:right="79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920" w:type="dxa"/>
            <w:vAlign w:val="bottom"/>
          </w:tcPr>
          <w:p>
            <w:pPr>
              <w:ind w:left="160"/>
              <w:spacing w:after="0"/>
              <w:rPr>
                <w:sz w:val="20"/>
                <w:szCs w:val="20"/>
                <w:color w:val="auto"/>
              </w:rPr>
            </w:pPr>
            <w:r>
              <w:rPr>
                <w:rFonts w:ascii="Arial" w:cs="Arial" w:eastAsia="Arial" w:hAnsi="Arial"/>
                <w:sz w:val="18"/>
                <w:szCs w:val="18"/>
                <w:color w:val="auto"/>
              </w:rPr>
              <w:t>4.2</w:t>
            </w:r>
          </w:p>
        </w:tc>
        <w:tc>
          <w:tcPr>
            <w:tcW w:w="4580" w:type="dxa"/>
            <w:vAlign w:val="bottom"/>
            <w:gridSpan w:val="46"/>
          </w:tcPr>
          <w:p>
            <w:pPr>
              <w:spacing w:after="0"/>
              <w:rPr>
                <w:rFonts w:ascii="Arial" w:cs="Arial" w:eastAsia="Arial" w:hAnsi="Arial"/>
                <w:sz w:val="18"/>
                <w:szCs w:val="18"/>
                <w:color w:val="0000FF"/>
                <w:w w:val="95"/>
              </w:rPr>
            </w:pPr>
            <w:hyperlink r:id="rId188">
              <w:r>
                <w:rPr>
                  <w:rFonts w:ascii="Arial" w:cs="Arial" w:eastAsia="Arial" w:hAnsi="Arial"/>
                  <w:sz w:val="18"/>
                  <w:szCs w:val="18"/>
                  <w:color w:val="0000FF"/>
                  <w:w w:val="95"/>
                </w:rPr>
                <w:t>Indenture, dated as of November 14, 2017, by and between</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8"/>
              </w:rPr>
              <w:t>11/14/17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Sarepta Therapeutics, Inc. and U. S. Bank National</w:t>
              </w:r>
            </w:hyperlink>
          </w:p>
        </w:tc>
        <w:tc>
          <w:tcPr>
            <w:tcW w:w="5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80" w:type="dxa"/>
            <w:vAlign w:val="bottom"/>
            <w:gridSpan w:val="46"/>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Association (including the form of the 1.50% Convertible</w:t>
              </w:r>
            </w:hyperlink>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720" w:type="dxa"/>
            <w:vAlign w:val="bottom"/>
            <w:tcBorders>
              <w:top w:val="single" w:sz="8" w:color="0000FF"/>
              <w:bottom w:val="single" w:sz="8" w:color="0000EE"/>
            </w:tcBorders>
            <w:gridSpan w:val="8"/>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Senior Note due 2024).</w:t>
              </w:r>
            </w:hyperlink>
          </w:p>
        </w:tc>
        <w:tc>
          <w:tcPr>
            <w:tcW w:w="2480" w:type="dxa"/>
            <w:vAlign w:val="bottom"/>
            <w:tcBorders>
              <w:top w:val="single" w:sz="8" w:color="0000FF"/>
            </w:tcBorders>
            <w:gridSpan w:val="23"/>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60"/>
              <w:spacing w:after="0"/>
              <w:rPr>
                <w:sz w:val="20"/>
                <w:szCs w:val="20"/>
                <w:color w:val="auto"/>
              </w:rPr>
            </w:pPr>
            <w:r>
              <w:rPr>
                <w:rFonts w:ascii="Arial" w:cs="Arial" w:eastAsia="Arial" w:hAnsi="Arial"/>
                <w:sz w:val="18"/>
                <w:szCs w:val="18"/>
                <w:color w:val="auto"/>
              </w:rPr>
              <w:t>4.3</w:t>
            </w:r>
          </w:p>
        </w:tc>
        <w:tc>
          <w:tcPr>
            <w:tcW w:w="2800" w:type="dxa"/>
            <w:vAlign w:val="bottom"/>
            <w:tcBorders>
              <w:bottom w:val="single" w:sz="8" w:color="0000FF"/>
            </w:tcBorders>
            <w:gridSpan w:val="16"/>
          </w:tcPr>
          <w:p>
            <w:pPr>
              <w:spacing w:after="0"/>
              <w:rPr>
                <w:rFonts w:ascii="Arial" w:cs="Arial" w:eastAsia="Arial" w:hAnsi="Arial"/>
                <w:sz w:val="18"/>
                <w:szCs w:val="18"/>
                <w:color w:val="0000FF"/>
                <w:w w:val="93"/>
              </w:rPr>
            </w:pPr>
            <w:hyperlink r:id="rId188">
              <w:r>
                <w:rPr>
                  <w:rFonts w:ascii="Arial" w:cs="Arial" w:eastAsia="Arial" w:hAnsi="Arial"/>
                  <w:sz w:val="18"/>
                  <w:szCs w:val="18"/>
                  <w:color w:val="0000FF"/>
                  <w:w w:val="93"/>
                </w:rPr>
                <w:t>Form of Note (included in Exhibit 4.2)</w:t>
              </w:r>
            </w:hyperlink>
          </w:p>
        </w:tc>
        <w:tc>
          <w:tcPr>
            <w:tcW w:w="1780" w:type="dxa"/>
            <w:vAlign w:val="bottom"/>
            <w:gridSpan w:val="30"/>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8"/>
              </w:rPr>
              <w:t>11/14/17</w:t>
            </w:r>
          </w:p>
        </w:tc>
        <w:tc>
          <w:tcPr>
            <w:tcW w:w="0" w:type="dxa"/>
            <w:vAlign w:val="bottom"/>
          </w:tcPr>
          <w:p>
            <w:pPr>
              <w:spacing w:after="0"/>
              <w:rPr>
                <w:sz w:val="1"/>
                <w:szCs w:val="1"/>
                <w:color w:val="auto"/>
              </w:rPr>
            </w:pPr>
          </w:p>
        </w:tc>
      </w:tr>
      <w:tr>
        <w:trPr>
          <w:trHeight w:val="290"/>
        </w:trPr>
        <w:tc>
          <w:tcPr>
            <w:tcW w:w="920" w:type="dxa"/>
            <w:vAlign w:val="bottom"/>
          </w:tcPr>
          <w:p>
            <w:pPr>
              <w:ind w:left="160"/>
              <w:spacing w:after="0"/>
              <w:rPr>
                <w:sz w:val="20"/>
                <w:szCs w:val="20"/>
                <w:color w:val="auto"/>
              </w:rPr>
            </w:pPr>
            <w:r>
              <w:rPr>
                <w:rFonts w:ascii="Arial" w:cs="Arial" w:eastAsia="Arial" w:hAnsi="Arial"/>
                <w:sz w:val="18"/>
                <w:szCs w:val="18"/>
                <w:color w:val="auto"/>
              </w:rPr>
              <w:t>4.4</w:t>
            </w:r>
          </w:p>
        </w:tc>
        <w:tc>
          <w:tcPr>
            <w:tcW w:w="4580" w:type="dxa"/>
            <w:vAlign w:val="bottom"/>
            <w:gridSpan w:val="46"/>
          </w:tcPr>
          <w:p>
            <w:pPr>
              <w:spacing w:after="0"/>
              <w:rPr>
                <w:rFonts w:ascii="Arial" w:cs="Arial" w:eastAsia="Arial" w:hAnsi="Arial"/>
                <w:sz w:val="18"/>
                <w:szCs w:val="18"/>
                <w:color w:val="0000FF"/>
              </w:rPr>
            </w:pPr>
            <w:hyperlink r:id="rId189">
              <w:r>
                <w:rPr>
                  <w:rFonts w:ascii="Arial" w:cs="Arial" w:eastAsia="Arial" w:hAnsi="Arial"/>
                  <w:sz w:val="18"/>
                  <w:szCs w:val="18"/>
                  <w:color w:val="0000FF"/>
                </w:rPr>
                <w:t>Description of Registered Securities</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10.1†</w:t>
            </w:r>
          </w:p>
        </w:tc>
        <w:tc>
          <w:tcPr>
            <w:tcW w:w="3580" w:type="dxa"/>
            <w:vAlign w:val="bottom"/>
            <w:tcBorders>
              <w:bottom w:val="single" w:sz="8" w:color="0000FF"/>
            </w:tcBorders>
            <w:gridSpan w:val="20"/>
          </w:tcPr>
          <w:p>
            <w:pPr>
              <w:spacing w:after="0"/>
              <w:rPr>
                <w:rFonts w:ascii="Arial" w:cs="Arial" w:eastAsia="Arial" w:hAnsi="Arial"/>
                <w:sz w:val="18"/>
                <w:szCs w:val="18"/>
                <w:color w:val="0000FF"/>
                <w:w w:val="92"/>
              </w:rPr>
            </w:pPr>
            <w:hyperlink r:id="rId190">
              <w:r>
                <w:rPr>
                  <w:rFonts w:ascii="Arial" w:cs="Arial" w:eastAsia="Arial" w:hAnsi="Arial"/>
                  <w:sz w:val="18"/>
                  <w:szCs w:val="18"/>
                  <w:color w:val="0000FF"/>
                  <w:w w:val="92"/>
                </w:rPr>
                <w:t>AVI BioPharma, Inc. 2002 Equity Incentive Plan.</w:t>
              </w:r>
            </w:hyperlink>
          </w:p>
        </w:tc>
        <w:tc>
          <w:tcPr>
            <w:tcW w:w="60" w:type="dxa"/>
            <w:vAlign w:val="bottom"/>
            <w:tcBorders>
              <w:bottom w:val="single" w:sz="8" w:color="0000EE"/>
            </w:tcBorders>
          </w:tcPr>
          <w:p>
            <w:pPr>
              <w:spacing w:after="0"/>
              <w:rPr>
                <w:sz w:val="24"/>
                <w:szCs w:val="24"/>
                <w:color w:val="auto"/>
              </w:rPr>
            </w:pPr>
          </w:p>
        </w:tc>
        <w:tc>
          <w:tcPr>
            <w:tcW w:w="940" w:type="dxa"/>
            <w:vAlign w:val="bottom"/>
            <w:gridSpan w:val="25"/>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Schedule 14A</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ind w:left="160"/>
              <w:spacing w:after="0"/>
              <w:rPr>
                <w:sz w:val="20"/>
                <w:szCs w:val="20"/>
                <w:color w:val="auto"/>
              </w:rPr>
            </w:pPr>
            <w:r>
              <w:rPr>
                <w:rFonts w:ascii="Arial" w:cs="Arial" w:eastAsia="Arial" w:hAnsi="Arial"/>
                <w:sz w:val="18"/>
                <w:szCs w:val="18"/>
                <w:color w:val="auto"/>
              </w:rPr>
              <w:t>Appendix A</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4/11/02</w:t>
            </w:r>
          </w:p>
        </w:tc>
        <w:tc>
          <w:tcPr>
            <w:tcW w:w="0" w:type="dxa"/>
            <w:vAlign w:val="bottom"/>
          </w:tcPr>
          <w:p>
            <w:pPr>
              <w:spacing w:after="0"/>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10.2†</w:t>
            </w:r>
          </w:p>
        </w:tc>
        <w:tc>
          <w:tcPr>
            <w:tcW w:w="4580" w:type="dxa"/>
            <w:vAlign w:val="bottom"/>
            <w:gridSpan w:val="46"/>
          </w:tcPr>
          <w:p>
            <w:pPr>
              <w:spacing w:after="0"/>
              <w:rPr>
                <w:rFonts w:ascii="Arial" w:cs="Arial" w:eastAsia="Arial" w:hAnsi="Arial"/>
                <w:sz w:val="18"/>
                <w:szCs w:val="18"/>
                <w:color w:val="0000FF"/>
              </w:rPr>
            </w:pPr>
            <w:hyperlink r:id="rId191">
              <w:r>
                <w:rPr>
                  <w:rFonts w:ascii="Arial" w:cs="Arial" w:eastAsia="Arial" w:hAnsi="Arial"/>
                  <w:sz w:val="18"/>
                  <w:szCs w:val="18"/>
                  <w:color w:val="0000FF"/>
                </w:rPr>
                <w:t>Sarepta Therapeutics, Inc. Amended and Restated 2011</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91"/>
              </w:rPr>
              <w:t>7/1/16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Equity Incentive Plan.</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10.3†</w:t>
            </w:r>
          </w:p>
        </w:tc>
        <w:tc>
          <w:tcPr>
            <w:tcW w:w="4580" w:type="dxa"/>
            <w:vAlign w:val="bottom"/>
            <w:gridSpan w:val="46"/>
          </w:tcPr>
          <w:p>
            <w:pPr>
              <w:spacing w:after="0"/>
              <w:rPr>
                <w:rFonts w:ascii="Arial" w:cs="Arial" w:eastAsia="Arial" w:hAnsi="Arial"/>
                <w:sz w:val="18"/>
                <w:szCs w:val="18"/>
                <w:color w:val="0000FF"/>
                <w:w w:val="94"/>
              </w:rPr>
            </w:pPr>
            <w:hyperlink r:id="rId192">
              <w:r>
                <w:rPr>
                  <w:rFonts w:ascii="Arial" w:cs="Arial" w:eastAsia="Arial" w:hAnsi="Arial"/>
                  <w:sz w:val="18"/>
                  <w:szCs w:val="18"/>
                  <w:color w:val="0000FF"/>
                  <w:w w:val="94"/>
                </w:rPr>
                <w:t>Form of Stock Option Award Agreement under the Amended</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2/28/17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2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and Restated 2011 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10.4†</w:t>
            </w:r>
          </w:p>
        </w:tc>
        <w:tc>
          <w:tcPr>
            <w:tcW w:w="4580" w:type="dxa"/>
            <w:vAlign w:val="bottom"/>
            <w:gridSpan w:val="46"/>
          </w:tcPr>
          <w:p>
            <w:pPr>
              <w:spacing w:after="0"/>
              <w:rPr>
                <w:rFonts w:ascii="Arial" w:cs="Arial" w:eastAsia="Arial" w:hAnsi="Arial"/>
                <w:sz w:val="18"/>
                <w:szCs w:val="18"/>
                <w:color w:val="0000FF"/>
                <w:w w:val="93"/>
              </w:rPr>
            </w:pPr>
            <w:hyperlink r:id="rId193">
              <w:r>
                <w:rPr>
                  <w:rFonts w:ascii="Arial" w:cs="Arial" w:eastAsia="Arial" w:hAnsi="Arial"/>
                  <w:sz w:val="18"/>
                  <w:szCs w:val="18"/>
                  <w:color w:val="0000FF"/>
                  <w:w w:val="93"/>
                </w:rPr>
                <w:t>Form of Restricted Stock Agreement under the Amended and</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2/28/17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Restated 2011 Equity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184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10.5†</w:t>
            </w:r>
          </w:p>
        </w:tc>
        <w:tc>
          <w:tcPr>
            <w:tcW w:w="4580" w:type="dxa"/>
            <w:vAlign w:val="bottom"/>
            <w:gridSpan w:val="46"/>
          </w:tcPr>
          <w:p>
            <w:pPr>
              <w:spacing w:after="0"/>
              <w:rPr>
                <w:rFonts w:ascii="Arial" w:cs="Arial" w:eastAsia="Arial" w:hAnsi="Arial"/>
                <w:sz w:val="18"/>
                <w:szCs w:val="18"/>
                <w:color w:val="0000FF"/>
                <w:w w:val="94"/>
              </w:rPr>
            </w:pPr>
            <w:hyperlink r:id="rId194">
              <w:r>
                <w:rPr>
                  <w:rFonts w:ascii="Arial" w:cs="Arial" w:eastAsia="Arial" w:hAnsi="Arial"/>
                  <w:sz w:val="18"/>
                  <w:szCs w:val="18"/>
                  <w:color w:val="0000FF"/>
                  <w:w w:val="94"/>
                </w:rPr>
                <w:t>Form of Restricted Stock Unit Award Agreement under 2011</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2/28/17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4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10.6†</w:t>
            </w:r>
          </w:p>
        </w:tc>
        <w:tc>
          <w:tcPr>
            <w:tcW w:w="4580" w:type="dxa"/>
            <w:vAlign w:val="bottom"/>
            <w:gridSpan w:val="46"/>
          </w:tcPr>
          <w:p>
            <w:pPr>
              <w:spacing w:after="0"/>
              <w:rPr>
                <w:rFonts w:ascii="Arial" w:cs="Arial" w:eastAsia="Arial" w:hAnsi="Arial"/>
                <w:sz w:val="18"/>
                <w:szCs w:val="18"/>
                <w:color w:val="0000FF"/>
                <w:w w:val="98"/>
              </w:rPr>
            </w:pPr>
            <w:hyperlink r:id="rId195">
              <w:r>
                <w:rPr>
                  <w:rFonts w:ascii="Arial" w:cs="Arial" w:eastAsia="Arial" w:hAnsi="Arial"/>
                  <w:sz w:val="18"/>
                  <w:szCs w:val="18"/>
                  <w:color w:val="0000FF"/>
                  <w:w w:val="98"/>
                </w:rPr>
                <w:t>Form of Stock Appreciation Right Award Agreement under</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2/28/17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the 2011 Equity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204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10.7†</w:t>
            </w:r>
          </w:p>
        </w:tc>
        <w:tc>
          <w:tcPr>
            <w:tcW w:w="4580" w:type="dxa"/>
            <w:vAlign w:val="bottom"/>
            <w:gridSpan w:val="46"/>
          </w:tcPr>
          <w:p>
            <w:pPr>
              <w:spacing w:after="0"/>
              <w:rPr>
                <w:rFonts w:ascii="Arial" w:cs="Arial" w:eastAsia="Arial" w:hAnsi="Arial"/>
                <w:sz w:val="18"/>
                <w:szCs w:val="18"/>
                <w:color w:val="0000FF"/>
              </w:rPr>
            </w:pPr>
            <w:hyperlink r:id="rId196">
              <w:r>
                <w:rPr>
                  <w:rFonts w:ascii="Arial" w:cs="Arial" w:eastAsia="Arial" w:hAnsi="Arial"/>
                  <w:sz w:val="18"/>
                  <w:szCs w:val="18"/>
                  <w:color w:val="0000FF"/>
                </w:rPr>
                <w:t>Sarepta Therapeutics, Inc. Amended and Restated 2013</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91"/>
              </w:rPr>
              <w:t>7/1/16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Employee Stock Purchase Plan.</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120"/>
              <w:spacing w:after="0" w:line="169" w:lineRule="exact"/>
              <w:rPr>
                <w:sz w:val="20"/>
                <w:szCs w:val="20"/>
                <w:color w:val="auto"/>
              </w:rPr>
            </w:pPr>
            <w:r>
              <w:rPr>
                <w:rFonts w:ascii="Arial" w:cs="Arial" w:eastAsia="Arial" w:hAnsi="Arial"/>
                <w:sz w:val="18"/>
                <w:szCs w:val="18"/>
                <w:color w:val="auto"/>
              </w:rPr>
              <w:t>10.8†</w:t>
            </w:r>
          </w:p>
        </w:tc>
        <w:tc>
          <w:tcPr>
            <w:tcW w:w="230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Sarepta Therapeutics, Inc. 2014</w:t>
              </w:r>
            </w:hyperlink>
          </w:p>
        </w:tc>
        <w:tc>
          <w:tcPr>
            <w:tcW w:w="2280" w:type="dxa"/>
            <w:vAlign w:val="bottom"/>
            <w:tcBorders>
              <w:bottom w:val="single" w:sz="8" w:color="0000FF"/>
            </w:tcBorders>
            <w:gridSpan w:val="34"/>
          </w:tcPr>
          <w:p>
            <w:pPr>
              <w:ind w:left="40"/>
              <w:spacing w:after="0" w:line="169" w:lineRule="exact"/>
              <w:rPr>
                <w:rFonts w:ascii="Arial" w:cs="Arial" w:eastAsia="Arial" w:hAnsi="Arial"/>
                <w:sz w:val="18"/>
                <w:szCs w:val="18"/>
                <w:color w:val="0000FF"/>
                <w:w w:val="93"/>
              </w:rPr>
            </w:pPr>
            <w:hyperlink r:id="rId197">
              <w:r>
                <w:rPr>
                  <w:rFonts w:ascii="Arial" w:cs="Arial" w:eastAsia="Arial" w:hAnsi="Arial"/>
                  <w:sz w:val="18"/>
                  <w:szCs w:val="18"/>
                  <w:color w:val="0000FF"/>
                  <w:w w:val="93"/>
                </w:rPr>
                <w:t>Employment Commencement</w:t>
              </w:r>
            </w:hyperlink>
          </w:p>
        </w:tc>
        <w:tc>
          <w:tcPr>
            <w:tcW w:w="1280" w:type="dxa"/>
            <w:vAlign w:val="bottom"/>
          </w:tcPr>
          <w:p>
            <w:pPr>
              <w:jc w:val="center"/>
              <w:spacing w:after="0" w:line="169" w:lineRule="exact"/>
              <w:rPr>
                <w:sz w:val="20"/>
                <w:szCs w:val="20"/>
                <w:color w:val="auto"/>
              </w:rPr>
            </w:pPr>
            <w:r>
              <w:rPr>
                <w:rFonts w:ascii="Arial" w:cs="Arial" w:eastAsia="Arial" w:hAnsi="Arial"/>
                <w:sz w:val="18"/>
                <w:szCs w:val="18"/>
                <w:color w:val="auto"/>
                <w:w w:val="85"/>
              </w:rPr>
              <w:t>S-8</w:t>
            </w:r>
          </w:p>
        </w:tc>
        <w:tc>
          <w:tcPr>
            <w:tcW w:w="1120" w:type="dxa"/>
            <w:vAlign w:val="bottom"/>
          </w:tcPr>
          <w:p>
            <w:pPr>
              <w:jc w:val="right"/>
              <w:ind w:right="90"/>
              <w:spacing w:after="0" w:line="169" w:lineRule="exact"/>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line="169" w:lineRule="exact"/>
              <w:rPr>
                <w:sz w:val="20"/>
                <w:szCs w:val="20"/>
                <w:color w:val="auto"/>
              </w:rPr>
            </w:pPr>
            <w:r>
              <w:rPr>
                <w:rFonts w:ascii="Arial" w:cs="Arial" w:eastAsia="Arial" w:hAnsi="Arial"/>
                <w:sz w:val="18"/>
                <w:szCs w:val="18"/>
                <w:color w:val="auto"/>
                <w:w w:val="87"/>
              </w:rPr>
              <w:t>4.4</w:t>
            </w:r>
          </w:p>
        </w:tc>
        <w:tc>
          <w:tcPr>
            <w:tcW w:w="2120" w:type="dxa"/>
            <w:vAlign w:val="bottom"/>
          </w:tcPr>
          <w:p>
            <w:pPr>
              <w:jc w:val="center"/>
              <w:ind w:right="1010"/>
              <w:spacing w:after="0" w:line="169" w:lineRule="exact"/>
              <w:rPr>
                <w:sz w:val="20"/>
                <w:szCs w:val="20"/>
                <w:color w:val="auto"/>
              </w:rPr>
            </w:pPr>
            <w:r>
              <w:rPr>
                <w:rFonts w:ascii="Arial" w:cs="Arial" w:eastAsia="Arial" w:hAnsi="Arial"/>
                <w:sz w:val="18"/>
                <w:szCs w:val="18"/>
                <w:color w:val="auto"/>
                <w:w w:val="89"/>
              </w:rPr>
              <w:t>2/25/16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020" w:type="dxa"/>
            <w:vAlign w:val="bottom"/>
            <w:tcBorders>
              <w:bottom w:val="single" w:sz="8" w:color="0000FF"/>
            </w:tcBorders>
            <w:gridSpan w:val="9"/>
          </w:tcPr>
          <w:p>
            <w:pPr>
              <w:spacing w:after="0" w:line="142" w:lineRule="exact"/>
              <w:rPr>
                <w:rFonts w:ascii="Arial" w:cs="Arial" w:eastAsia="Arial" w:hAnsi="Arial"/>
                <w:sz w:val="16"/>
                <w:szCs w:val="16"/>
                <w:color w:val="0000FF"/>
                <w:w w:val="99"/>
              </w:rPr>
            </w:pPr>
            <w:hyperlink r:id="rId197">
              <w:r>
                <w:rPr>
                  <w:rFonts w:ascii="Arial" w:cs="Arial" w:eastAsia="Arial" w:hAnsi="Arial"/>
                  <w:sz w:val="16"/>
                  <w:szCs w:val="16"/>
                  <w:color w:val="0000FF"/>
                  <w:w w:val="99"/>
                </w:rPr>
                <w:t>Incentive Plan, as amended.</w:t>
              </w:r>
            </w:hyperlink>
          </w:p>
        </w:tc>
        <w:tc>
          <w:tcPr>
            <w:tcW w:w="20" w:type="dxa"/>
            <w:vAlign w:val="bottom"/>
            <w:tcBorders>
              <w:bottom w:val="single" w:sz="8" w:color="0000EE"/>
            </w:tcBorders>
          </w:tcPr>
          <w:p>
            <w:pPr>
              <w:spacing w:after="0"/>
              <w:rPr>
                <w:sz w:val="12"/>
                <w:szCs w:val="12"/>
                <w:color w:val="auto"/>
              </w:rPr>
            </w:pPr>
          </w:p>
        </w:tc>
        <w:tc>
          <w:tcPr>
            <w:tcW w:w="2540" w:type="dxa"/>
            <w:vAlign w:val="bottom"/>
            <w:gridSpan w:val="36"/>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10.9</w:t>
            </w:r>
          </w:p>
        </w:tc>
        <w:tc>
          <w:tcPr>
            <w:tcW w:w="4580" w:type="dxa"/>
            <w:vAlign w:val="bottom"/>
            <w:gridSpan w:val="46"/>
          </w:tcPr>
          <w:p>
            <w:pPr>
              <w:spacing w:after="0"/>
              <w:rPr>
                <w:rFonts w:ascii="Arial" w:cs="Arial" w:eastAsia="Arial" w:hAnsi="Arial"/>
                <w:sz w:val="18"/>
                <w:szCs w:val="18"/>
                <w:color w:val="0000FF"/>
              </w:rPr>
            </w:pPr>
            <w:hyperlink r:id="rId198">
              <w:r>
                <w:rPr>
                  <w:rFonts w:ascii="Arial" w:cs="Arial" w:eastAsia="Arial" w:hAnsi="Arial"/>
                  <w:sz w:val="18"/>
                  <w:szCs w:val="18"/>
                  <w:color w:val="0000FF"/>
                </w:rPr>
                <w:t>Form of Stock Option Award Agreement under 2014</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91"/>
              </w:rPr>
              <w:t>3/3/14</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Employment Commencement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600" w:type="dxa"/>
            <w:vAlign w:val="bottom"/>
            <w:tcBorders>
              <w:top w:val="single" w:sz="8" w:color="0000FF"/>
            </w:tcBorders>
            <w:gridSpan w:val="5"/>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10.10*</w:t>
            </w:r>
          </w:p>
        </w:tc>
        <w:tc>
          <w:tcPr>
            <w:tcW w:w="4580" w:type="dxa"/>
            <w:vAlign w:val="bottom"/>
            <w:gridSpan w:val="46"/>
          </w:tcPr>
          <w:p>
            <w:pPr>
              <w:spacing w:after="0"/>
              <w:rPr>
                <w:rFonts w:ascii="Arial" w:cs="Arial" w:eastAsia="Arial" w:hAnsi="Arial"/>
                <w:sz w:val="18"/>
                <w:szCs w:val="18"/>
                <w:color w:val="0000FF"/>
                <w:w w:val="93"/>
              </w:rPr>
            </w:pPr>
            <w:hyperlink r:id="rId199">
              <w:r>
                <w:rPr>
                  <w:rFonts w:ascii="Arial" w:cs="Arial" w:eastAsia="Arial" w:hAnsi="Arial"/>
                  <w:sz w:val="18"/>
                  <w:szCs w:val="18"/>
                  <w:color w:val="0000FF"/>
                  <w:w w:val="93"/>
                </w:rPr>
                <w:t>Amended and Restated Exclusive License Agreement by and</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91"/>
              </w:rPr>
              <w:t>5/9/13</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among The University of Western Australia, Sarepta</w:t>
              </w:r>
            </w:hyperlink>
          </w:p>
        </w:tc>
        <w:tc>
          <w:tcPr>
            <w:tcW w:w="66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80" w:type="dxa"/>
            <w:vAlign w:val="bottom"/>
            <w:gridSpan w:val="46"/>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Therapeutics, Inc., and Sarepta International CV dated April</w:t>
              </w:r>
            </w:hyperlink>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99">
              <w:r>
                <w:rPr>
                  <w:rFonts w:ascii="Arial" w:cs="Arial" w:eastAsia="Arial" w:hAnsi="Arial"/>
                  <w:sz w:val="16"/>
                  <w:szCs w:val="16"/>
                  <w:color w:val="0000FF"/>
                  <w:w w:val="98"/>
                </w:rPr>
                <w:t>10, 2013.</w:t>
              </w:r>
            </w:hyperlink>
          </w:p>
        </w:tc>
        <w:tc>
          <w:tcPr>
            <w:tcW w:w="20" w:type="dxa"/>
            <w:vAlign w:val="bottom"/>
            <w:tcBorders>
              <w:top w:val="single" w:sz="8" w:color="0000FF"/>
              <w:bottom w:val="single" w:sz="8" w:color="0000EE"/>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10.11*</w:t>
            </w:r>
          </w:p>
        </w:tc>
        <w:tc>
          <w:tcPr>
            <w:tcW w:w="4580" w:type="dxa"/>
            <w:vAlign w:val="bottom"/>
            <w:gridSpan w:val="46"/>
          </w:tcPr>
          <w:p>
            <w:pPr>
              <w:spacing w:after="0"/>
              <w:rPr>
                <w:rFonts w:ascii="Arial" w:cs="Arial" w:eastAsia="Arial" w:hAnsi="Arial"/>
                <w:sz w:val="18"/>
                <w:szCs w:val="18"/>
                <w:color w:val="0000FF"/>
                <w:w w:val="96"/>
              </w:rPr>
            </w:pPr>
            <w:hyperlink r:id="rId200">
              <w:r>
                <w:rPr>
                  <w:rFonts w:ascii="Arial" w:cs="Arial" w:eastAsia="Arial" w:hAnsi="Arial"/>
                  <w:sz w:val="18"/>
                  <w:szCs w:val="18"/>
                  <w:color w:val="0000FF"/>
                  <w:w w:val="96"/>
                </w:rPr>
                <w:t>First Amendment to License Agreement by and among The</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91"/>
              </w:rPr>
              <w:t>8/9/16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35"/>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University of Western Australia, Sarepta Therapeutics, Inc.,</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ind w:left="120"/>
              <w:spacing w:after="0"/>
              <w:rPr>
                <w:sz w:val="20"/>
                <w:szCs w:val="20"/>
                <w:color w:val="auto"/>
              </w:rPr>
            </w:pPr>
            <w:r>
              <w:rPr>
                <w:rFonts w:ascii="Arial" w:cs="Arial" w:eastAsia="Arial" w:hAnsi="Arial"/>
                <w:sz w:val="18"/>
                <w:szCs w:val="18"/>
                <w:color w:val="auto"/>
              </w:rPr>
              <w:t>10.12</w:t>
            </w:r>
          </w:p>
        </w:tc>
        <w:tc>
          <w:tcPr>
            <w:tcW w:w="4420" w:type="dxa"/>
            <w:vAlign w:val="bottom"/>
            <w:gridSpan w:val="38"/>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and Sarepta International CV dated June 19, 2016.</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vMerge w:val="restart"/>
          </w:tcPr>
          <w:p>
            <w:pPr>
              <w:jc w:val="center"/>
              <w:ind w:right="1010"/>
              <w:spacing w:after="0"/>
              <w:rPr>
                <w:sz w:val="20"/>
                <w:szCs w:val="20"/>
                <w:color w:val="auto"/>
              </w:rPr>
            </w:pPr>
            <w:r>
              <w:rPr>
                <w:rFonts w:ascii="Arial" w:cs="Arial" w:eastAsia="Arial" w:hAnsi="Arial"/>
                <w:sz w:val="18"/>
                <w:szCs w:val="18"/>
                <w:color w:val="auto"/>
                <w:w w:val="91"/>
              </w:rPr>
              <w:t>7/1/13</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3980" w:type="dxa"/>
            <w:vAlign w:val="bottom"/>
            <w:tcBorders>
              <w:bottom w:val="single" w:sz="8" w:color="0000FF"/>
            </w:tcBorders>
            <w:gridSpan w:val="25"/>
          </w:tcPr>
          <w:p>
            <w:pPr>
              <w:spacing w:after="0" w:line="169" w:lineRule="exact"/>
              <w:rPr>
                <w:rFonts w:ascii="Arial" w:cs="Arial" w:eastAsia="Arial" w:hAnsi="Arial"/>
                <w:sz w:val="18"/>
                <w:szCs w:val="18"/>
                <w:color w:val="0000FF"/>
                <w:w w:val="89"/>
              </w:rPr>
            </w:pPr>
            <w:hyperlink r:id="rId201">
              <w:r>
                <w:rPr>
                  <w:rFonts w:ascii="Arial" w:cs="Arial" w:eastAsia="Arial" w:hAnsi="Arial"/>
                  <w:sz w:val="18"/>
                  <w:szCs w:val="18"/>
                  <w:color w:val="0000FF"/>
                  <w:w w:val="89"/>
                </w:rPr>
                <w:t>Lease Agreement dated June 25, 2013 by and between</w:t>
              </w:r>
            </w:hyperlink>
          </w:p>
        </w:tc>
        <w:tc>
          <w:tcPr>
            <w:tcW w:w="600" w:type="dxa"/>
            <w:vAlign w:val="bottom"/>
            <w:gridSpan w:val="21"/>
          </w:tcPr>
          <w:p>
            <w:pPr>
              <w:spacing w:after="0"/>
              <w:rPr>
                <w:sz w:val="14"/>
                <w:szCs w:val="14"/>
                <w:color w:val="auto"/>
              </w:rPr>
            </w:pPr>
          </w:p>
        </w:tc>
        <w:tc>
          <w:tcPr>
            <w:tcW w:w="12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80" w:type="dxa"/>
            <w:vAlign w:val="bottom"/>
            <w:gridSpan w:val="46"/>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Sarepta Therapeutics, Inc. and ARE-MA Region No. 38,</w:t>
              </w:r>
            </w:hyperlink>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LLC.</w:t>
              </w:r>
            </w:hyperlink>
          </w:p>
        </w:tc>
        <w:tc>
          <w:tcPr>
            <w:tcW w:w="20" w:type="dxa"/>
            <w:vAlign w:val="bottom"/>
            <w:tcBorders>
              <w:top w:val="single" w:sz="8" w:color="0000FF"/>
              <w:bottom w:val="single" w:sz="8" w:color="0000EE"/>
            </w:tcBorders>
          </w:tcPr>
          <w:p>
            <w:pPr>
              <w:spacing w:after="0"/>
              <w:rPr>
                <w:sz w:val="12"/>
                <w:szCs w:val="12"/>
                <w:color w:val="auto"/>
              </w:rPr>
            </w:pPr>
          </w:p>
        </w:tc>
        <w:tc>
          <w:tcPr>
            <w:tcW w:w="372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10.13†</w:t>
            </w:r>
          </w:p>
        </w:tc>
        <w:tc>
          <w:tcPr>
            <w:tcW w:w="4580" w:type="dxa"/>
            <w:vAlign w:val="bottom"/>
            <w:tcBorders>
              <w:bottom w:val="single" w:sz="8" w:color="0000FF"/>
            </w:tcBorders>
            <w:gridSpan w:val="46"/>
          </w:tcPr>
          <w:p>
            <w:pPr>
              <w:spacing w:after="0"/>
              <w:rPr>
                <w:rFonts w:ascii="Arial" w:cs="Arial" w:eastAsia="Arial" w:hAnsi="Arial"/>
                <w:sz w:val="18"/>
                <w:szCs w:val="18"/>
                <w:color w:val="0000FF"/>
                <w:w w:val="92"/>
              </w:rPr>
            </w:pPr>
            <w:hyperlink r:id="rId202">
              <w:r>
                <w:rPr>
                  <w:rFonts w:ascii="Arial" w:cs="Arial" w:eastAsia="Arial" w:hAnsi="Arial"/>
                  <w:sz w:val="18"/>
                  <w:szCs w:val="18"/>
                  <w:color w:val="0000FF"/>
                  <w:w w:val="92"/>
                </w:rPr>
                <w:t>Amendment No. 1 to the Sarepta Therapeutics, Inc. Amended</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6/30/15</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980" w:type="dxa"/>
            <w:vAlign w:val="bottom"/>
            <w:tcBorders>
              <w:bottom w:val="single" w:sz="8" w:color="0000FF"/>
            </w:tcBorders>
            <w:gridSpan w:val="17"/>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and Restated 2011 Equity Incentive Plan</w:t>
              </w:r>
            </w:hyperlink>
          </w:p>
        </w:tc>
        <w:tc>
          <w:tcPr>
            <w:tcW w:w="1600" w:type="dxa"/>
            <w:vAlign w:val="bottom"/>
            <w:gridSpan w:val="29"/>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10.14</w:t>
            </w:r>
          </w:p>
        </w:tc>
        <w:tc>
          <w:tcPr>
            <w:tcW w:w="4580" w:type="dxa"/>
            <w:vAlign w:val="bottom"/>
            <w:gridSpan w:val="46"/>
          </w:tcPr>
          <w:p>
            <w:pPr>
              <w:spacing w:after="0"/>
              <w:rPr>
                <w:rFonts w:ascii="Arial" w:cs="Arial" w:eastAsia="Arial" w:hAnsi="Arial"/>
                <w:sz w:val="18"/>
                <w:szCs w:val="18"/>
                <w:color w:val="0000FF"/>
                <w:w w:val="94"/>
              </w:rPr>
            </w:pPr>
            <w:hyperlink r:id="rId203">
              <w:r>
                <w:rPr>
                  <w:rFonts w:ascii="Arial" w:cs="Arial" w:eastAsia="Arial" w:hAnsi="Arial"/>
                  <w:sz w:val="18"/>
                  <w:szCs w:val="18"/>
                  <w:color w:val="0000FF"/>
                  <w:w w:val="94"/>
                </w:rPr>
                <w:t>Asset Purchase Agreement dated February 20, 2017 by and</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91"/>
              </w:rPr>
              <w:t>5/4/17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w w:val="99"/>
              </w:rPr>
            </w:pPr>
            <w:hyperlink r:id="rId203">
              <w:r>
                <w:rPr>
                  <w:rFonts w:ascii="Arial" w:cs="Arial" w:eastAsia="Arial" w:hAnsi="Arial"/>
                  <w:sz w:val="16"/>
                  <w:szCs w:val="16"/>
                  <w:color w:val="0000FF"/>
                  <w:w w:val="99"/>
                </w:rPr>
                <w:t>between Sarepta Therapeutics Inc. and Gilead Sciences, Inc.</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10.15†</w:t>
            </w:r>
          </w:p>
        </w:tc>
        <w:tc>
          <w:tcPr>
            <w:tcW w:w="4580" w:type="dxa"/>
            <w:vAlign w:val="bottom"/>
            <w:gridSpan w:val="46"/>
          </w:tcPr>
          <w:p>
            <w:pPr>
              <w:spacing w:after="0"/>
              <w:rPr>
                <w:rFonts w:ascii="Arial" w:cs="Arial" w:eastAsia="Arial" w:hAnsi="Arial"/>
                <w:sz w:val="18"/>
                <w:szCs w:val="18"/>
                <w:color w:val="0000FF"/>
                <w:w w:val="93"/>
              </w:rPr>
            </w:pPr>
            <w:hyperlink r:id="rId204">
              <w:r>
                <w:rPr>
                  <w:rFonts w:ascii="Arial" w:cs="Arial" w:eastAsia="Arial" w:hAnsi="Arial"/>
                  <w:sz w:val="18"/>
                  <w:szCs w:val="18"/>
                  <w:color w:val="0000FF"/>
                  <w:w w:val="93"/>
                </w:rPr>
                <w:t>Employment Agreement, dated as of June 26, 2017, between</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6/28/17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Sarepta Therapeutics, Inc. and Douglas S. Ingram</w:t>
              </w:r>
            </w:hyperlink>
          </w:p>
        </w:tc>
        <w:tc>
          <w:tcPr>
            <w:tcW w:w="800" w:type="dxa"/>
            <w:vAlign w:val="bottom"/>
            <w:tcBorders>
              <w:top w:val="single" w:sz="8" w:color="0000FF"/>
            </w:tcBorders>
            <w:gridSpan w:val="18"/>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10.16†</w:t>
            </w:r>
          </w:p>
        </w:tc>
        <w:tc>
          <w:tcPr>
            <w:tcW w:w="4580" w:type="dxa"/>
            <w:vAlign w:val="bottom"/>
            <w:gridSpan w:val="46"/>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Change in Control and Severance Agreement by and between</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6/28/17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6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Douglas S. Ingram and Sarepta Therapeutics, Inc., effective</w:t>
              </w:r>
            </w:hyperlink>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8"/>
              </w:rPr>
            </w:pPr>
            <w:hyperlink r:id="rId205">
              <w:r>
                <w:rPr>
                  <w:rFonts w:ascii="Arial" w:cs="Arial" w:eastAsia="Arial" w:hAnsi="Arial"/>
                  <w:sz w:val="16"/>
                  <w:szCs w:val="16"/>
                  <w:color w:val="0000FF"/>
                  <w:w w:val="98"/>
                </w:rPr>
                <w:t>June 26, 2017</w:t>
              </w:r>
            </w:hyperlink>
          </w:p>
        </w:tc>
        <w:tc>
          <w:tcPr>
            <w:tcW w:w="20" w:type="dxa"/>
            <w:vAlign w:val="bottom"/>
            <w:tcBorders>
              <w:top w:val="single" w:sz="8" w:color="0000FF"/>
              <w:bottom w:val="single" w:sz="8" w:color="0000EE"/>
            </w:tcBorders>
          </w:tcPr>
          <w:p>
            <w:pPr>
              <w:spacing w:after="0"/>
              <w:rPr>
                <w:sz w:val="12"/>
                <w:szCs w:val="12"/>
                <w:color w:val="auto"/>
              </w:rPr>
            </w:pPr>
          </w:p>
        </w:tc>
        <w:tc>
          <w:tcPr>
            <w:tcW w:w="3340" w:type="dxa"/>
            <w:vAlign w:val="bottom"/>
            <w:tcBorders>
              <w:top w:val="single" w:sz="8" w:color="0000FF"/>
            </w:tcBorders>
            <w:gridSpan w:val="30"/>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10.17†</w:t>
            </w:r>
          </w:p>
        </w:tc>
        <w:tc>
          <w:tcPr>
            <w:tcW w:w="4580" w:type="dxa"/>
            <w:vAlign w:val="bottom"/>
            <w:gridSpan w:val="46"/>
          </w:tcPr>
          <w:p>
            <w:pPr>
              <w:spacing w:after="0"/>
              <w:rPr>
                <w:rFonts w:ascii="Arial" w:cs="Arial" w:eastAsia="Arial" w:hAnsi="Arial"/>
                <w:sz w:val="18"/>
                <w:szCs w:val="18"/>
                <w:color w:val="0000FF"/>
                <w:w w:val="99"/>
              </w:rPr>
            </w:pPr>
            <w:hyperlink r:id="rId206">
              <w:r>
                <w:rPr>
                  <w:rFonts w:ascii="Arial" w:cs="Arial" w:eastAsia="Arial" w:hAnsi="Arial"/>
                  <w:sz w:val="18"/>
                  <w:szCs w:val="18"/>
                  <w:color w:val="0000FF"/>
                  <w:w w:val="99"/>
                </w:rPr>
                <w:t>Amendment No. 1 to the Sarepta Therapeutics, Inc. 2014</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6/28/17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Employment Commencement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9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12"/>
          </w:tcPr>
          <w:p>
            <w:pPr>
              <w:spacing w:after="0"/>
              <w:rPr>
                <w:sz w:val="12"/>
                <w:szCs w:val="12"/>
                <w:color w:val="auto"/>
              </w:rPr>
            </w:pPr>
          </w:p>
        </w:tc>
        <w:tc>
          <w:tcPr>
            <w:tcW w:w="80" w:type="dxa"/>
            <w:vAlign w:val="bottom"/>
            <w:gridSpan w:val="4"/>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10.18†</w:t>
            </w:r>
          </w:p>
        </w:tc>
        <w:tc>
          <w:tcPr>
            <w:tcW w:w="4580" w:type="dxa"/>
            <w:vAlign w:val="bottom"/>
            <w:gridSpan w:val="46"/>
          </w:tcPr>
          <w:p>
            <w:pPr>
              <w:spacing w:after="0"/>
              <w:rPr>
                <w:rFonts w:ascii="Arial" w:cs="Arial" w:eastAsia="Arial" w:hAnsi="Arial"/>
                <w:sz w:val="18"/>
                <w:szCs w:val="18"/>
                <w:color w:val="0000FF"/>
              </w:rPr>
            </w:pPr>
            <w:hyperlink r:id="rId207">
              <w:r>
                <w:rPr>
                  <w:rFonts w:ascii="Arial" w:cs="Arial" w:eastAsia="Arial" w:hAnsi="Arial"/>
                  <w:sz w:val="18"/>
                  <w:szCs w:val="18"/>
                  <w:color w:val="0000FF"/>
                </w:rPr>
                <w:t>Restricted Stock Agreement under the 2014 Employment</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6/28/17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Commencement Incentive Plan</w:t>
              </w:r>
            </w:hyperlink>
          </w:p>
        </w:tc>
        <w:tc>
          <w:tcPr>
            <w:tcW w:w="320" w:type="dxa"/>
            <w:vAlign w:val="bottom"/>
            <w:gridSpan w:val="12"/>
          </w:tcPr>
          <w:p>
            <w:pPr>
              <w:spacing w:after="0"/>
              <w:rPr>
                <w:sz w:val="12"/>
                <w:szCs w:val="12"/>
                <w:color w:val="auto"/>
              </w:rPr>
            </w:pPr>
          </w:p>
        </w:tc>
        <w:tc>
          <w:tcPr>
            <w:tcW w:w="80" w:type="dxa"/>
            <w:vAlign w:val="bottom"/>
            <w:gridSpan w:val="4"/>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80" w:type="dxa"/>
            <w:vAlign w:val="bottom"/>
            <w:tcBorders>
              <w:right w:val="single" w:sz="8" w:color="0000EE"/>
            </w:tcBorders>
            <w:gridSpan w:val="11"/>
            <w:shd w:val="clear" w:color="auto" w:fill="0000FF"/>
          </w:tcPr>
          <w:p>
            <w:pPr>
              <w:spacing w:after="0" w:line="20" w:lineRule="exact"/>
              <w:rPr>
                <w:sz w:val="1"/>
                <w:szCs w:val="1"/>
                <w:color w:val="auto"/>
              </w:rPr>
            </w:pPr>
          </w:p>
        </w:tc>
        <w:tc>
          <w:tcPr>
            <w:tcW w:w="2220" w:type="dxa"/>
            <w:vAlign w:val="bottom"/>
            <w:gridSpan w:val="3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10.19†</w:t>
            </w:r>
          </w:p>
        </w:tc>
        <w:tc>
          <w:tcPr>
            <w:tcW w:w="4580" w:type="dxa"/>
            <w:vAlign w:val="bottom"/>
            <w:gridSpan w:val="46"/>
          </w:tcPr>
          <w:p>
            <w:pPr>
              <w:spacing w:after="0"/>
              <w:rPr>
                <w:rFonts w:ascii="Arial" w:cs="Arial" w:eastAsia="Arial" w:hAnsi="Arial"/>
                <w:sz w:val="18"/>
                <w:szCs w:val="18"/>
                <w:color w:val="0000FF"/>
                <w:w w:val="93"/>
              </w:rPr>
            </w:pPr>
            <w:hyperlink r:id="rId208">
              <w:r>
                <w:rPr>
                  <w:rFonts w:ascii="Arial" w:cs="Arial" w:eastAsia="Arial" w:hAnsi="Arial"/>
                  <w:sz w:val="18"/>
                  <w:szCs w:val="18"/>
                  <w:color w:val="0000FF"/>
                  <w:w w:val="93"/>
                </w:rPr>
                <w:t>Performance Stock Option Award Agreement under the 2014</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001-14895</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120" w:type="dxa"/>
            <w:vAlign w:val="bottom"/>
          </w:tcPr>
          <w:p>
            <w:pPr>
              <w:jc w:val="center"/>
              <w:ind w:right="1010"/>
              <w:spacing w:after="0"/>
              <w:rPr>
                <w:sz w:val="20"/>
                <w:szCs w:val="20"/>
                <w:color w:val="auto"/>
              </w:rPr>
            </w:pPr>
            <w:r>
              <w:rPr>
                <w:rFonts w:ascii="Arial" w:cs="Arial" w:eastAsia="Arial" w:hAnsi="Arial"/>
                <w:sz w:val="18"/>
                <w:szCs w:val="18"/>
                <w:color w:val="auto"/>
                <w:w w:val="89"/>
              </w:rPr>
              <w:t>6/28/17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0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Employment Commencement Incentive Plan</w:t>
              </w:r>
            </w:hyperlink>
          </w:p>
        </w:tc>
        <w:tc>
          <w:tcPr>
            <w:tcW w:w="80" w:type="dxa"/>
            <w:vAlign w:val="bottom"/>
            <w:gridSpan w:val="4"/>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w w:val="81"/>
              </w:rPr>
              <w:t>-87-</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920" w:type="dxa"/>
            <w:vAlign w:val="bottom"/>
          </w:tcPr>
          <w:p>
            <w:pPr>
              <w:ind w:left="120"/>
              <w:spacing w:after="0"/>
              <w:rPr>
                <w:sz w:val="20"/>
                <w:szCs w:val="20"/>
                <w:color w:val="auto"/>
              </w:rPr>
            </w:pPr>
            <w:r>
              <w:rPr>
                <w:rFonts w:ascii="Arial" w:cs="Arial" w:eastAsia="Arial" w:hAnsi="Arial"/>
                <w:sz w:val="18"/>
                <w:szCs w:val="18"/>
                <w:color w:val="auto"/>
              </w:rPr>
              <w:t>10.20*</w:t>
            </w:r>
          </w:p>
        </w:tc>
        <w:tc>
          <w:tcPr>
            <w:tcW w:w="4540" w:type="dxa"/>
            <w:vAlign w:val="bottom"/>
            <w:gridSpan w:val="35"/>
          </w:tcPr>
          <w:p>
            <w:pPr>
              <w:spacing w:after="0"/>
              <w:rPr>
                <w:rFonts w:ascii="Arial" w:cs="Arial" w:eastAsia="Arial" w:hAnsi="Arial"/>
                <w:sz w:val="18"/>
                <w:szCs w:val="18"/>
                <w:color w:val="0000FF"/>
                <w:w w:val="95"/>
              </w:rPr>
            </w:pPr>
            <w:hyperlink r:id="rId211">
              <w:r>
                <w:rPr>
                  <w:rFonts w:ascii="Arial" w:cs="Arial" w:eastAsia="Arial" w:hAnsi="Arial"/>
                  <w:sz w:val="18"/>
                  <w:szCs w:val="18"/>
                  <w:color w:val="0000FF"/>
                  <w:w w:val="95"/>
                </w:rPr>
                <w:t>Settlement Agreement between Sarepta Therapeutics, Inc.,</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8/3/17</w:t>
            </w:r>
          </w:p>
        </w:tc>
      </w:tr>
      <w:tr>
        <w:trPr>
          <w:trHeight w:val="136"/>
        </w:trPr>
        <w:tc>
          <w:tcPr>
            <w:tcW w:w="920" w:type="dxa"/>
            <w:vAlign w:val="bottom"/>
          </w:tcPr>
          <w:p>
            <w:pPr>
              <w:spacing w:after="0"/>
              <w:rPr>
                <w:sz w:val="11"/>
                <w:szCs w:val="11"/>
                <w:color w:val="auto"/>
              </w:rPr>
            </w:pPr>
          </w:p>
        </w:tc>
        <w:tc>
          <w:tcPr>
            <w:tcW w:w="4300" w:type="dxa"/>
            <w:vAlign w:val="bottom"/>
            <w:tcBorders>
              <w:top w:val="single" w:sz="8" w:color="0000FF"/>
            </w:tcBorders>
            <w:gridSpan w:val="27"/>
          </w:tcPr>
          <w:p>
            <w:pPr>
              <w:spacing w:after="0" w:line="129" w:lineRule="exact"/>
              <w:rPr>
                <w:rFonts w:ascii="Arial" w:cs="Arial" w:eastAsia="Arial" w:hAnsi="Arial"/>
                <w:sz w:val="13"/>
                <w:szCs w:val="13"/>
                <w:color w:val="0000FF"/>
              </w:rPr>
            </w:pPr>
            <w:hyperlink r:id="rId211">
              <w:r>
                <w:rPr>
                  <w:rFonts w:ascii="Arial" w:cs="Arial" w:eastAsia="Arial" w:hAnsi="Arial"/>
                  <w:sz w:val="13"/>
                  <w:szCs w:val="13"/>
                  <w:color w:val="0000FF"/>
                </w:rPr>
                <w:t>Sarepta International C.V. and The University of Western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48"/>
        </w:trPr>
        <w:tc>
          <w:tcPr>
            <w:tcW w:w="920" w:type="dxa"/>
            <w:vAlign w:val="bottom"/>
          </w:tcPr>
          <w:p>
            <w:pPr>
              <w:spacing w:after="0"/>
              <w:rPr>
                <w:sz w:val="12"/>
                <w:szCs w:val="12"/>
                <w:color w:val="auto"/>
              </w:rPr>
            </w:pPr>
          </w:p>
        </w:tc>
        <w:tc>
          <w:tcPr>
            <w:tcW w:w="4180" w:type="dxa"/>
            <w:vAlign w:val="bottom"/>
            <w:tcBorders>
              <w:top w:val="single" w:sz="8" w:color="0000FF"/>
            </w:tcBorders>
            <w:gridSpan w:val="24"/>
          </w:tcPr>
          <w:p>
            <w:pPr>
              <w:spacing w:after="0" w:line="149" w:lineRule="exact"/>
              <w:rPr>
                <w:rFonts w:ascii="Arial" w:cs="Arial" w:eastAsia="Arial" w:hAnsi="Arial"/>
                <w:sz w:val="17"/>
                <w:szCs w:val="17"/>
                <w:color w:val="0000FF"/>
                <w:w w:val="98"/>
              </w:rPr>
            </w:pPr>
            <w:hyperlink r:id="rId211">
              <w:r>
                <w:rPr>
                  <w:rFonts w:ascii="Arial" w:cs="Arial" w:eastAsia="Arial" w:hAnsi="Arial"/>
                  <w:sz w:val="17"/>
                  <w:szCs w:val="17"/>
                  <w:color w:val="0000FF"/>
                  <w:w w:val="98"/>
                </w:rPr>
                <w:t>Australia on the one hand, and BioMarin Leiden Holding</w:t>
              </w:r>
            </w:hyperlink>
          </w:p>
        </w:tc>
        <w:tc>
          <w:tcPr>
            <w:tcW w:w="360" w:type="dxa"/>
            <w:vAlign w:val="bottom"/>
            <w:gridSpan w:val="11"/>
          </w:tcPr>
          <w:p>
            <w:pPr>
              <w:spacing w:after="0" w:line="149" w:lineRule="exact"/>
              <w:rPr>
                <w:rFonts w:ascii="Arial" w:cs="Arial" w:eastAsia="Arial" w:hAnsi="Arial"/>
                <w:sz w:val="17"/>
                <w:szCs w:val="17"/>
                <w:color w:val="0000FF"/>
              </w:rPr>
            </w:pPr>
            <w:hyperlink r:id="rId211">
              <w:r>
                <w:rPr>
                  <w:rFonts w:ascii="Arial" w:cs="Arial" w:eastAsia="Arial" w:hAnsi="Arial"/>
                  <w:sz w:val="17"/>
                  <w:szCs w:val="17"/>
                  <w:color w:val="0000FF"/>
                </w:rPr>
                <w:t>BV,</w:t>
              </w:r>
            </w:hyperlink>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5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BioMarin Nederlands BV and BioMarin Technologies BV on</w:t>
              </w:r>
            </w:hyperlink>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4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the other hand dated July 17,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10.21*</w:t>
            </w:r>
          </w:p>
        </w:tc>
        <w:tc>
          <w:tcPr>
            <w:tcW w:w="4540" w:type="dxa"/>
            <w:vAlign w:val="bottom"/>
            <w:gridSpan w:val="35"/>
          </w:tcPr>
          <w:p>
            <w:pPr>
              <w:spacing w:after="0"/>
              <w:rPr>
                <w:rFonts w:ascii="Arial" w:cs="Arial" w:eastAsia="Arial" w:hAnsi="Arial"/>
                <w:sz w:val="18"/>
                <w:szCs w:val="18"/>
                <w:color w:val="0000FF"/>
                <w:w w:val="94"/>
              </w:rPr>
            </w:pPr>
            <w:hyperlink r:id="rId212">
              <w:r>
                <w:rPr>
                  <w:rFonts w:ascii="Arial" w:cs="Arial" w:eastAsia="Arial" w:hAnsi="Arial"/>
                  <w:sz w:val="18"/>
                  <w:szCs w:val="18"/>
                  <w:color w:val="0000FF"/>
                  <w:w w:val="94"/>
                </w:rPr>
                <w:t>License Agreement between Sarepta Therapeutics, Inc. and</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8/3/17</w:t>
            </w:r>
          </w:p>
        </w:tc>
      </w:tr>
      <w:tr>
        <w:trPr>
          <w:trHeight w:val="142"/>
        </w:trPr>
        <w:tc>
          <w:tcPr>
            <w:tcW w:w="9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Sarepta International C.V. on the one hand and BioMarin</w:t>
              </w:r>
            </w:hyperlink>
          </w:p>
        </w:tc>
        <w:tc>
          <w:tcPr>
            <w:tcW w:w="18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540" w:type="dxa"/>
            <w:vAlign w:val="bottom"/>
            <w:gridSpan w:val="35"/>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Leiden Holding BV, BioMarin Nederlands BV and BioMarin</w:t>
              </w:r>
            </w:hyperlink>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Technologies BV on the other hand dated July 17, 2017</w:t>
              </w:r>
            </w:hyperlink>
          </w:p>
        </w:tc>
        <w:tc>
          <w:tcPr>
            <w:tcW w:w="20" w:type="dxa"/>
            <w:vAlign w:val="bottom"/>
            <w:tcBorders>
              <w:top w:val="single" w:sz="8" w:color="0000FF"/>
              <w:bottom w:val="single" w:sz="8" w:color="0000EE"/>
            </w:tcBorders>
          </w:tcPr>
          <w:p>
            <w:pPr>
              <w:spacing w:after="0"/>
              <w:rPr>
                <w:sz w:val="12"/>
                <w:szCs w:val="12"/>
                <w:color w:val="auto"/>
              </w:rPr>
            </w:pPr>
          </w:p>
        </w:tc>
        <w:tc>
          <w:tcPr>
            <w:tcW w:w="4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84"/>
        </w:trPr>
        <w:tc>
          <w:tcPr>
            <w:tcW w:w="920" w:type="dxa"/>
            <w:vAlign w:val="bottom"/>
          </w:tcPr>
          <w:p>
            <w:pPr>
              <w:ind w:left="120"/>
              <w:spacing w:after="0"/>
              <w:rPr>
                <w:sz w:val="20"/>
                <w:szCs w:val="20"/>
                <w:color w:val="auto"/>
              </w:rPr>
            </w:pPr>
            <w:r>
              <w:rPr>
                <w:rFonts w:ascii="Arial" w:cs="Arial" w:eastAsia="Arial" w:hAnsi="Arial"/>
                <w:sz w:val="18"/>
                <w:szCs w:val="18"/>
                <w:color w:val="auto"/>
              </w:rPr>
              <w:t>10.22</w:t>
            </w:r>
          </w:p>
        </w:tc>
        <w:tc>
          <w:tcPr>
            <w:tcW w:w="4540" w:type="dxa"/>
            <w:vAlign w:val="bottom"/>
            <w:gridSpan w:val="35"/>
          </w:tcPr>
          <w:p>
            <w:pPr>
              <w:spacing w:after="0"/>
              <w:rPr>
                <w:rFonts w:ascii="Arial" w:cs="Arial" w:eastAsia="Arial" w:hAnsi="Arial"/>
                <w:sz w:val="18"/>
                <w:szCs w:val="18"/>
                <w:color w:val="0000FF"/>
              </w:rPr>
            </w:pPr>
            <w:hyperlink r:id="rId213">
              <w:r>
                <w:rPr>
                  <w:rFonts w:ascii="Arial" w:cs="Arial" w:eastAsia="Arial" w:hAnsi="Arial"/>
                  <w:sz w:val="18"/>
                  <w:szCs w:val="18"/>
                  <w:color w:val="0000FF"/>
                </w:rPr>
                <w:t>Base Call Option Transaction Confirmation, dated as of</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8"/>
              </w:rPr>
              <w:t>11/14/17</w:t>
            </w:r>
          </w:p>
        </w:tc>
      </w:tr>
      <w:tr>
        <w:trPr>
          <w:trHeight w:val="148"/>
        </w:trPr>
        <w:tc>
          <w:tcPr>
            <w:tcW w:w="920" w:type="dxa"/>
            <w:vAlign w:val="bottom"/>
          </w:tcPr>
          <w:p>
            <w:pPr>
              <w:spacing w:after="0"/>
              <w:rPr>
                <w:sz w:val="12"/>
                <w:szCs w:val="12"/>
                <w:color w:val="auto"/>
              </w:rPr>
            </w:pPr>
          </w:p>
        </w:tc>
        <w:tc>
          <w:tcPr>
            <w:tcW w:w="4080" w:type="dxa"/>
            <w:vAlign w:val="bottom"/>
            <w:tcBorders>
              <w:top w:val="single" w:sz="8" w:color="0000FF"/>
            </w:tcBorders>
            <w:gridSpan w:val="21"/>
          </w:tcPr>
          <w:p>
            <w:pPr>
              <w:spacing w:after="0" w:line="149" w:lineRule="exact"/>
              <w:rPr>
                <w:rFonts w:ascii="Arial" w:cs="Arial" w:eastAsia="Arial" w:hAnsi="Arial"/>
                <w:sz w:val="17"/>
                <w:szCs w:val="17"/>
                <w:color w:val="0000FF"/>
                <w:w w:val="97"/>
              </w:rPr>
            </w:pPr>
            <w:hyperlink r:id="rId213">
              <w:r>
                <w:rPr>
                  <w:rFonts w:ascii="Arial" w:cs="Arial" w:eastAsia="Arial" w:hAnsi="Arial"/>
                  <w:sz w:val="17"/>
                  <w:szCs w:val="17"/>
                  <w:color w:val="0000FF"/>
                  <w:w w:val="97"/>
                </w:rPr>
                <w:t>November 8, 2017, between Sarepta Therapeutics, Inc.</w:t>
              </w:r>
            </w:hyperlink>
          </w:p>
        </w:tc>
        <w:tc>
          <w:tcPr>
            <w:tcW w:w="460" w:type="dxa"/>
            <w:vAlign w:val="bottom"/>
            <w:gridSpan w:val="14"/>
          </w:tcPr>
          <w:p>
            <w:pPr>
              <w:spacing w:after="0" w:line="149" w:lineRule="exact"/>
              <w:rPr>
                <w:rFonts w:ascii="Arial" w:cs="Arial" w:eastAsia="Arial" w:hAnsi="Arial"/>
                <w:sz w:val="17"/>
                <w:szCs w:val="17"/>
                <w:color w:val="0000FF"/>
              </w:rPr>
            </w:pPr>
            <w:hyperlink r:id="rId213">
              <w:r>
                <w:rPr>
                  <w:rFonts w:ascii="Arial" w:cs="Arial" w:eastAsia="Arial" w:hAnsi="Arial"/>
                  <w:sz w:val="17"/>
                  <w:szCs w:val="17"/>
                  <w:color w:val="0000FF"/>
                </w:rPr>
                <w:t>and</w:t>
              </w:r>
            </w:hyperlink>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3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JPMorgan Chase Bank, National Association, London</w:t>
              </w:r>
            </w:hyperlink>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Branch.</w:t>
              </w:r>
            </w:hyperlink>
          </w:p>
        </w:tc>
        <w:tc>
          <w:tcPr>
            <w:tcW w:w="40" w:type="dxa"/>
            <w:vAlign w:val="bottom"/>
            <w:tcBorders>
              <w:top w:val="single" w:sz="8" w:color="0000FF"/>
              <w:bottom w:val="single" w:sz="8" w:color="0000EE"/>
            </w:tcBorders>
          </w:tcPr>
          <w:p>
            <w:pPr>
              <w:spacing w:after="0"/>
              <w:rPr>
                <w:sz w:val="12"/>
                <w:szCs w:val="12"/>
                <w:color w:val="auto"/>
              </w:rPr>
            </w:pPr>
          </w:p>
        </w:tc>
        <w:tc>
          <w:tcPr>
            <w:tcW w:w="33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84"/>
        </w:trPr>
        <w:tc>
          <w:tcPr>
            <w:tcW w:w="920" w:type="dxa"/>
            <w:vAlign w:val="bottom"/>
          </w:tcPr>
          <w:p>
            <w:pPr>
              <w:ind w:left="120"/>
              <w:spacing w:after="0"/>
              <w:rPr>
                <w:sz w:val="20"/>
                <w:szCs w:val="20"/>
                <w:color w:val="auto"/>
              </w:rPr>
            </w:pPr>
            <w:r>
              <w:rPr>
                <w:rFonts w:ascii="Arial" w:cs="Arial" w:eastAsia="Arial" w:hAnsi="Arial"/>
                <w:sz w:val="18"/>
                <w:szCs w:val="18"/>
                <w:color w:val="auto"/>
              </w:rPr>
              <w:t>10.23</w:t>
            </w:r>
          </w:p>
        </w:tc>
        <w:tc>
          <w:tcPr>
            <w:tcW w:w="4540" w:type="dxa"/>
            <w:vAlign w:val="bottom"/>
            <w:gridSpan w:val="35"/>
          </w:tcPr>
          <w:p>
            <w:pPr>
              <w:spacing w:after="0"/>
              <w:rPr>
                <w:rFonts w:ascii="Arial" w:cs="Arial" w:eastAsia="Arial" w:hAnsi="Arial"/>
                <w:sz w:val="18"/>
                <w:szCs w:val="18"/>
                <w:color w:val="0000FF"/>
              </w:rPr>
            </w:pPr>
            <w:hyperlink r:id="rId214">
              <w:r>
                <w:rPr>
                  <w:rFonts w:ascii="Arial" w:cs="Arial" w:eastAsia="Arial" w:hAnsi="Arial"/>
                  <w:sz w:val="18"/>
                  <w:szCs w:val="18"/>
                  <w:color w:val="0000FF"/>
                </w:rPr>
                <w:t>Base Call Option Transaction Confirmation, dated as of</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8"/>
              </w:rPr>
              <w:t>11/14/17</w:t>
            </w:r>
          </w:p>
        </w:tc>
      </w:tr>
      <w:tr>
        <w:trPr>
          <w:trHeight w:val="148"/>
        </w:trPr>
        <w:tc>
          <w:tcPr>
            <w:tcW w:w="920" w:type="dxa"/>
            <w:vAlign w:val="bottom"/>
          </w:tcPr>
          <w:p>
            <w:pPr>
              <w:spacing w:after="0"/>
              <w:rPr>
                <w:sz w:val="12"/>
                <w:szCs w:val="12"/>
                <w:color w:val="auto"/>
              </w:rPr>
            </w:pPr>
          </w:p>
        </w:tc>
        <w:tc>
          <w:tcPr>
            <w:tcW w:w="4080" w:type="dxa"/>
            <w:vAlign w:val="bottom"/>
            <w:tcBorders>
              <w:top w:val="single" w:sz="8" w:color="0000FF"/>
            </w:tcBorders>
            <w:gridSpan w:val="21"/>
          </w:tcPr>
          <w:p>
            <w:pPr>
              <w:spacing w:after="0" w:line="149" w:lineRule="exact"/>
              <w:rPr>
                <w:rFonts w:ascii="Arial" w:cs="Arial" w:eastAsia="Arial" w:hAnsi="Arial"/>
                <w:sz w:val="17"/>
                <w:szCs w:val="17"/>
                <w:color w:val="0000FF"/>
                <w:w w:val="97"/>
              </w:rPr>
            </w:pPr>
            <w:hyperlink r:id="rId214">
              <w:r>
                <w:rPr>
                  <w:rFonts w:ascii="Arial" w:cs="Arial" w:eastAsia="Arial" w:hAnsi="Arial"/>
                  <w:sz w:val="17"/>
                  <w:szCs w:val="17"/>
                  <w:color w:val="0000FF"/>
                  <w:w w:val="97"/>
                </w:rPr>
                <w:t>November 8, 2017, between Sarepta Therapeutics, Inc.</w:t>
              </w:r>
            </w:hyperlink>
          </w:p>
        </w:tc>
        <w:tc>
          <w:tcPr>
            <w:tcW w:w="460" w:type="dxa"/>
            <w:vAlign w:val="bottom"/>
            <w:gridSpan w:val="14"/>
          </w:tcPr>
          <w:p>
            <w:pPr>
              <w:spacing w:after="0" w:line="149" w:lineRule="exact"/>
              <w:rPr>
                <w:rFonts w:ascii="Arial" w:cs="Arial" w:eastAsia="Arial" w:hAnsi="Arial"/>
                <w:sz w:val="17"/>
                <w:szCs w:val="17"/>
                <w:color w:val="0000FF"/>
              </w:rPr>
            </w:pPr>
            <w:hyperlink r:id="rId214">
              <w:r>
                <w:rPr>
                  <w:rFonts w:ascii="Arial" w:cs="Arial" w:eastAsia="Arial" w:hAnsi="Arial"/>
                  <w:sz w:val="17"/>
                  <w:szCs w:val="17"/>
                  <w:color w:val="0000FF"/>
                </w:rPr>
                <w:t>and</w:t>
              </w:r>
            </w:hyperlink>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Goldman Sachs &amp; Co. LLC.</w:t>
              </w:r>
            </w:hyperlink>
          </w:p>
        </w:tc>
        <w:tc>
          <w:tcPr>
            <w:tcW w:w="40" w:type="dxa"/>
            <w:vAlign w:val="bottom"/>
            <w:tcBorders>
              <w:top w:val="single" w:sz="8" w:color="0000FF"/>
              <w:bottom w:val="single" w:sz="8" w:color="0000EE"/>
            </w:tcBorders>
          </w:tcPr>
          <w:p>
            <w:pPr>
              <w:spacing w:after="0"/>
              <w:rPr>
                <w:sz w:val="12"/>
                <w:szCs w:val="12"/>
                <w:color w:val="auto"/>
              </w:rPr>
            </w:pPr>
          </w:p>
        </w:tc>
        <w:tc>
          <w:tcPr>
            <w:tcW w:w="2220" w:type="dxa"/>
            <w:vAlign w:val="bottom"/>
            <w:tcBorders>
              <w:top w:val="single" w:sz="8" w:color="0000FF"/>
            </w:tcBorders>
            <w:gridSpan w:val="21"/>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10.24</w:t>
            </w:r>
          </w:p>
        </w:tc>
        <w:tc>
          <w:tcPr>
            <w:tcW w:w="4540" w:type="dxa"/>
            <w:vAlign w:val="bottom"/>
            <w:gridSpan w:val="35"/>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Additional Call Option Transaction Confirmation, dated as of</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8"/>
              </w:rPr>
              <w:t>11/14/17</w:t>
            </w:r>
          </w:p>
        </w:tc>
      </w:tr>
      <w:tr>
        <w:trPr>
          <w:trHeight w:val="142"/>
        </w:trPr>
        <w:tc>
          <w:tcPr>
            <w:tcW w:w="92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November 9, 2017, between Sarepta Therapeutics, Inc. and</w:t>
              </w:r>
            </w:hyperlink>
          </w:p>
        </w:tc>
        <w:tc>
          <w:tcPr>
            <w:tcW w:w="18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540" w:type="dxa"/>
            <w:vAlign w:val="bottom"/>
            <w:tcBorders>
              <w:bottom w:val="single" w:sz="8" w:color="0000EE"/>
            </w:tcBorders>
            <w:gridSpan w:val="35"/>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JPMorgan Chase Bank, National Association, London Branch</w:t>
              </w:r>
            </w:hyperlink>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10.25</w:t>
            </w:r>
          </w:p>
        </w:tc>
        <w:tc>
          <w:tcPr>
            <w:tcW w:w="4540" w:type="dxa"/>
            <w:vAlign w:val="bottom"/>
            <w:gridSpan w:val="35"/>
          </w:tcPr>
          <w:p>
            <w:pPr>
              <w:spacing w:after="0"/>
              <w:rPr>
                <w:rFonts w:ascii="Arial" w:cs="Arial" w:eastAsia="Arial" w:hAnsi="Arial"/>
                <w:sz w:val="18"/>
                <w:szCs w:val="18"/>
                <w:color w:val="0000FF"/>
                <w:w w:val="94"/>
              </w:rPr>
            </w:pPr>
            <w:hyperlink r:id="rId216">
              <w:r>
                <w:rPr>
                  <w:rFonts w:ascii="Arial" w:cs="Arial" w:eastAsia="Arial" w:hAnsi="Arial"/>
                  <w:sz w:val="18"/>
                  <w:szCs w:val="18"/>
                  <w:color w:val="0000FF"/>
                  <w:w w:val="94"/>
                </w:rPr>
                <w:t>Additional Call Option Transaction Confirmation, dated as of</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8"/>
              </w:rPr>
              <w:t>11/14/17</w:t>
            </w:r>
          </w:p>
        </w:tc>
      </w:tr>
      <w:tr>
        <w:trPr>
          <w:trHeight w:val="142"/>
        </w:trPr>
        <w:tc>
          <w:tcPr>
            <w:tcW w:w="920" w:type="dxa"/>
            <w:vAlign w:val="bottom"/>
          </w:tcPr>
          <w:p>
            <w:pPr>
              <w:spacing w:after="0"/>
              <w:rPr>
                <w:sz w:val="12"/>
                <w:szCs w:val="12"/>
                <w:color w:val="auto"/>
              </w:rPr>
            </w:pPr>
          </w:p>
        </w:tc>
        <w:tc>
          <w:tcPr>
            <w:tcW w:w="45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November 9, 2017, between Sarepta Therapeutics, Inc. and</w:t>
              </w:r>
            </w:hyperlink>
          </w:p>
        </w:tc>
        <w:tc>
          <w:tcPr>
            <w:tcW w:w="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3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Goldman Sachs &amp; Co. LLC</w:t>
              </w:r>
            </w:hyperlink>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4"/>
        </w:trPr>
        <w:tc>
          <w:tcPr>
            <w:tcW w:w="920" w:type="dxa"/>
            <w:vAlign w:val="bottom"/>
          </w:tcPr>
          <w:p>
            <w:pPr>
              <w:ind w:left="120"/>
              <w:spacing w:after="0"/>
              <w:rPr>
                <w:sz w:val="20"/>
                <w:szCs w:val="20"/>
                <w:color w:val="auto"/>
              </w:rPr>
            </w:pPr>
            <w:r>
              <w:rPr>
                <w:rFonts w:ascii="Arial" w:cs="Arial" w:eastAsia="Arial" w:hAnsi="Arial"/>
                <w:sz w:val="18"/>
                <w:szCs w:val="18"/>
                <w:color w:val="auto"/>
              </w:rPr>
              <w:t>10.26</w:t>
            </w:r>
          </w:p>
        </w:tc>
        <w:tc>
          <w:tcPr>
            <w:tcW w:w="4540" w:type="dxa"/>
            <w:vAlign w:val="bottom"/>
            <w:gridSpan w:val="35"/>
          </w:tcPr>
          <w:p>
            <w:pPr>
              <w:spacing w:after="0"/>
              <w:rPr>
                <w:rFonts w:ascii="Arial" w:cs="Arial" w:eastAsia="Arial" w:hAnsi="Arial"/>
                <w:sz w:val="18"/>
                <w:szCs w:val="18"/>
                <w:color w:val="0000FF"/>
                <w:w w:val="99"/>
              </w:rPr>
            </w:pPr>
            <w:hyperlink r:id="rId217">
              <w:r>
                <w:rPr>
                  <w:rFonts w:ascii="Arial" w:cs="Arial" w:eastAsia="Arial" w:hAnsi="Arial"/>
                  <w:sz w:val="18"/>
                  <w:szCs w:val="18"/>
                  <w:color w:val="0000FF"/>
                  <w:w w:val="99"/>
                </w:rPr>
                <w:t>Seventh Amendment to a Lease Agreement between the</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5/3/18</w:t>
            </w:r>
          </w:p>
        </w:tc>
      </w:tr>
      <w:tr>
        <w:trPr>
          <w:trHeight w:val="148"/>
        </w:trPr>
        <w:tc>
          <w:tcPr>
            <w:tcW w:w="920" w:type="dxa"/>
            <w:vAlign w:val="bottom"/>
          </w:tcPr>
          <w:p>
            <w:pPr>
              <w:spacing w:after="0"/>
              <w:rPr>
                <w:sz w:val="12"/>
                <w:szCs w:val="12"/>
                <w:color w:val="auto"/>
              </w:rPr>
            </w:pPr>
          </w:p>
        </w:tc>
        <w:tc>
          <w:tcPr>
            <w:tcW w:w="4100" w:type="dxa"/>
            <w:vAlign w:val="bottom"/>
            <w:tcBorders>
              <w:top w:val="single" w:sz="8" w:color="0000FF"/>
            </w:tcBorders>
            <w:gridSpan w:val="22"/>
          </w:tcPr>
          <w:p>
            <w:pPr>
              <w:spacing w:after="0" w:line="149" w:lineRule="exact"/>
              <w:rPr>
                <w:rFonts w:ascii="Arial" w:cs="Arial" w:eastAsia="Arial" w:hAnsi="Arial"/>
                <w:sz w:val="17"/>
                <w:szCs w:val="17"/>
                <w:color w:val="0000FF"/>
                <w:w w:val="97"/>
              </w:rPr>
            </w:pPr>
            <w:hyperlink r:id="rId217">
              <w:r>
                <w:rPr>
                  <w:rFonts w:ascii="Arial" w:cs="Arial" w:eastAsia="Arial" w:hAnsi="Arial"/>
                  <w:sz w:val="17"/>
                  <w:szCs w:val="17"/>
                  <w:color w:val="0000FF"/>
                  <w:w w:val="97"/>
                </w:rPr>
                <w:t>Company and ARE-MA Region No. 38, LLC dated April</w:t>
              </w:r>
            </w:hyperlink>
          </w:p>
        </w:tc>
        <w:tc>
          <w:tcPr>
            <w:tcW w:w="360" w:type="dxa"/>
            <w:vAlign w:val="bottom"/>
            <w:gridSpan w:val="9"/>
          </w:tcPr>
          <w:p>
            <w:pPr>
              <w:ind w:left="100"/>
              <w:spacing w:after="0" w:line="149" w:lineRule="exact"/>
              <w:rPr>
                <w:rFonts w:ascii="Arial" w:cs="Arial" w:eastAsia="Arial" w:hAnsi="Arial"/>
                <w:sz w:val="17"/>
                <w:szCs w:val="17"/>
                <w:color w:val="0000FF"/>
              </w:rPr>
            </w:pPr>
            <w:hyperlink r:id="rId217">
              <w:r>
                <w:rPr>
                  <w:rFonts w:ascii="Arial" w:cs="Arial" w:eastAsia="Arial" w:hAnsi="Arial"/>
                  <w:sz w:val="17"/>
                  <w:szCs w:val="17"/>
                  <w:color w:val="0000FF"/>
                </w:rPr>
                <w:t>27,</w:t>
              </w:r>
            </w:hyperlink>
          </w:p>
        </w:tc>
        <w:tc>
          <w:tcPr>
            <w:tcW w:w="80" w:type="dxa"/>
            <w:vAlign w:val="bottom"/>
            <w:gridSpan w:val="4"/>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r:id="rId217">
              <w:r>
                <w:rPr>
                  <w:rFonts w:ascii="Arial" w:cs="Arial" w:eastAsia="Arial" w:hAnsi="Arial"/>
                  <w:sz w:val="16"/>
                  <w:szCs w:val="16"/>
                  <w:color w:val="0000FF"/>
                  <w:w w:val="95"/>
                </w:rPr>
                <w:t>2018</w:t>
              </w:r>
            </w:hyperlink>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10.27†</w:t>
            </w:r>
          </w:p>
        </w:tc>
        <w:tc>
          <w:tcPr>
            <w:tcW w:w="3900" w:type="dxa"/>
            <w:vAlign w:val="bottom"/>
            <w:tcBorders>
              <w:bottom w:val="single" w:sz="8" w:color="0000FF"/>
            </w:tcBorders>
            <w:gridSpan w:val="13"/>
          </w:tcPr>
          <w:p>
            <w:pPr>
              <w:spacing w:after="0"/>
              <w:rPr>
                <w:rFonts w:ascii="Arial" w:cs="Arial" w:eastAsia="Arial" w:hAnsi="Arial"/>
                <w:sz w:val="18"/>
                <w:szCs w:val="18"/>
                <w:color w:val="0000FF"/>
                <w:w w:val="90"/>
              </w:rPr>
            </w:pPr>
            <w:hyperlink r:id="rId218">
              <w:r>
                <w:rPr>
                  <w:rFonts w:ascii="Arial" w:cs="Arial" w:eastAsia="Arial" w:hAnsi="Arial"/>
                  <w:sz w:val="18"/>
                  <w:szCs w:val="18"/>
                  <w:color w:val="0000FF"/>
                  <w:w w:val="90"/>
                </w:rPr>
                <w:t>Sarepta Therapeutics, Inc. 2018 Equity Incentive Plan</w:t>
              </w:r>
            </w:hyperlink>
          </w:p>
        </w:tc>
        <w:tc>
          <w:tcPr>
            <w:tcW w:w="20" w:type="dxa"/>
            <w:vAlign w:val="bottom"/>
            <w:tcBorders>
              <w:bottom w:val="single" w:sz="8" w:color="0000EE"/>
            </w:tcBorders>
          </w:tcPr>
          <w:p>
            <w:pPr>
              <w:spacing w:after="0"/>
              <w:rPr>
                <w:sz w:val="24"/>
                <w:szCs w:val="24"/>
                <w:color w:val="auto"/>
              </w:rPr>
            </w:pPr>
          </w:p>
        </w:tc>
        <w:tc>
          <w:tcPr>
            <w:tcW w:w="620" w:type="dxa"/>
            <w:vAlign w:val="bottom"/>
            <w:gridSpan w:val="21"/>
          </w:tcPr>
          <w:p>
            <w:pPr>
              <w:spacing w:after="0"/>
              <w:rPr>
                <w:sz w:val="24"/>
                <w:szCs w:val="24"/>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8/8/18</w:t>
            </w: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10.28†</w:t>
            </w:r>
          </w:p>
        </w:tc>
        <w:tc>
          <w:tcPr>
            <w:tcW w:w="4540" w:type="dxa"/>
            <w:vAlign w:val="bottom"/>
            <w:gridSpan w:val="35"/>
          </w:tcPr>
          <w:p>
            <w:pPr>
              <w:spacing w:after="0"/>
              <w:rPr>
                <w:rFonts w:ascii="Arial" w:cs="Arial" w:eastAsia="Arial" w:hAnsi="Arial"/>
                <w:sz w:val="18"/>
                <w:szCs w:val="18"/>
                <w:color w:val="0000FF"/>
                <w:w w:val="93"/>
              </w:rPr>
            </w:pPr>
            <w:hyperlink r:id="rId219">
              <w:r>
                <w:rPr>
                  <w:rFonts w:ascii="Arial" w:cs="Arial" w:eastAsia="Arial" w:hAnsi="Arial"/>
                  <w:sz w:val="18"/>
                  <w:szCs w:val="18"/>
                  <w:color w:val="0000FF"/>
                  <w:w w:val="93"/>
                </w:rPr>
                <w:t>Employment Agreement between Sarepta Therapeutics, Inc.</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8/8/18</w:t>
            </w:r>
          </w:p>
        </w:tc>
      </w:tr>
      <w:tr>
        <w:trPr>
          <w:trHeight w:val="142"/>
        </w:trPr>
        <w:tc>
          <w:tcPr>
            <w:tcW w:w="9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and Gilmore O’Neill, M.D., effective as of June 7, 2018</w:t>
              </w:r>
            </w:hyperlink>
          </w:p>
        </w:tc>
        <w:tc>
          <w:tcPr>
            <w:tcW w:w="340" w:type="dxa"/>
            <w:vAlign w:val="bottom"/>
            <w:tcBorders>
              <w:top w:val="single" w:sz="8" w:color="0000FF"/>
            </w:tcBorders>
            <w:gridSpan w:val="10"/>
          </w:tcPr>
          <w:p>
            <w:pPr>
              <w:spacing w:after="0"/>
              <w:rPr>
                <w:sz w:val="12"/>
                <w:szCs w:val="12"/>
                <w:color w:val="auto"/>
              </w:rPr>
            </w:pPr>
          </w:p>
        </w:tc>
        <w:tc>
          <w:tcPr>
            <w:tcW w:w="140" w:type="dxa"/>
            <w:vAlign w:val="bottom"/>
            <w:gridSpan w:val="5"/>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10.29†</w:t>
            </w:r>
          </w:p>
        </w:tc>
        <w:tc>
          <w:tcPr>
            <w:tcW w:w="4540" w:type="dxa"/>
            <w:vAlign w:val="bottom"/>
            <w:gridSpan w:val="35"/>
          </w:tcPr>
          <w:p>
            <w:pPr>
              <w:spacing w:after="0"/>
              <w:rPr>
                <w:rFonts w:ascii="Arial" w:cs="Arial" w:eastAsia="Arial" w:hAnsi="Arial"/>
                <w:sz w:val="18"/>
                <w:szCs w:val="18"/>
                <w:color w:val="0000FF"/>
              </w:rPr>
            </w:pPr>
            <w:hyperlink r:id="rId220">
              <w:r>
                <w:rPr>
                  <w:rFonts w:ascii="Arial" w:cs="Arial" w:eastAsia="Arial" w:hAnsi="Arial"/>
                  <w:sz w:val="18"/>
                  <w:szCs w:val="18"/>
                  <w:color w:val="0000FF"/>
                </w:rPr>
                <w:t>Change in Control and Severance Agreement between</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8/8/18</w:t>
            </w:r>
          </w:p>
        </w:tc>
      </w:tr>
      <w:tr>
        <w:trPr>
          <w:trHeight w:val="142"/>
        </w:trPr>
        <w:tc>
          <w:tcPr>
            <w:tcW w:w="92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Sarepta Therapeutics, Inc. and Gilmore O’Neill, M.D.,</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9"/>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000" w:type="dxa"/>
            <w:vAlign w:val="bottom"/>
            <w:gridSpan w:val="1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effective as of June 7,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9"/>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10.30†</w:t>
            </w:r>
          </w:p>
        </w:tc>
        <w:tc>
          <w:tcPr>
            <w:tcW w:w="4540" w:type="dxa"/>
            <w:vAlign w:val="bottom"/>
            <w:gridSpan w:val="35"/>
          </w:tcPr>
          <w:p>
            <w:pPr>
              <w:spacing w:after="0"/>
              <w:rPr>
                <w:rFonts w:ascii="Arial" w:cs="Arial" w:eastAsia="Arial" w:hAnsi="Arial"/>
                <w:sz w:val="18"/>
                <w:szCs w:val="18"/>
                <w:color w:val="0000FF"/>
                <w:w w:val="96"/>
              </w:rPr>
            </w:pPr>
            <w:hyperlink r:id="rId221">
              <w:r>
                <w:rPr>
                  <w:rFonts w:ascii="Arial" w:cs="Arial" w:eastAsia="Arial" w:hAnsi="Arial"/>
                  <w:sz w:val="18"/>
                  <w:szCs w:val="18"/>
                  <w:color w:val="0000FF"/>
                  <w:w w:val="96"/>
                </w:rPr>
                <w:t>Letter Agreement between Douglas S. Ingram and Sarepta</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8/8/18</w:t>
            </w:r>
          </w:p>
        </w:tc>
      </w:tr>
      <w:tr>
        <w:trPr>
          <w:trHeight w:val="142"/>
        </w:trPr>
        <w:tc>
          <w:tcPr>
            <w:tcW w:w="920" w:type="dxa"/>
            <w:vAlign w:val="bottom"/>
          </w:tcPr>
          <w:p>
            <w:pPr>
              <w:spacing w:after="0"/>
              <w:rPr>
                <w:sz w:val="12"/>
                <w:szCs w:val="12"/>
                <w:color w:val="auto"/>
              </w:rPr>
            </w:pPr>
          </w:p>
        </w:tc>
        <w:tc>
          <w:tcPr>
            <w:tcW w:w="42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Therapeutics, Inc. dated June 26, 2018</w:t>
              </w:r>
            </w:hyperlink>
          </w:p>
        </w:tc>
        <w:tc>
          <w:tcPr>
            <w:tcW w:w="20" w:type="dxa"/>
            <w:vAlign w:val="bottom"/>
          </w:tcPr>
          <w:p>
            <w:pPr>
              <w:spacing w:after="0"/>
              <w:rPr>
                <w:sz w:val="12"/>
                <w:szCs w:val="12"/>
                <w:color w:val="auto"/>
              </w:rPr>
            </w:pPr>
          </w:p>
        </w:tc>
        <w:tc>
          <w:tcPr>
            <w:tcW w:w="260" w:type="dxa"/>
            <w:vAlign w:val="bottom"/>
            <w:gridSpan w:val="9"/>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760" w:type="dxa"/>
            <w:vAlign w:val="bottom"/>
            <w:tcBorders>
              <w:right w:val="single" w:sz="8" w:color="0000EE"/>
            </w:tcBorders>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10.31†</w:t>
            </w:r>
          </w:p>
        </w:tc>
        <w:tc>
          <w:tcPr>
            <w:tcW w:w="4060" w:type="dxa"/>
            <w:vAlign w:val="bottom"/>
            <w:tcBorders>
              <w:bottom w:val="single" w:sz="8" w:color="0000FF"/>
            </w:tcBorders>
            <w:gridSpan w:val="20"/>
          </w:tcPr>
          <w:p>
            <w:pPr>
              <w:spacing w:after="0"/>
              <w:rPr>
                <w:rFonts w:ascii="Arial" w:cs="Arial" w:eastAsia="Arial" w:hAnsi="Arial"/>
                <w:sz w:val="18"/>
                <w:szCs w:val="18"/>
                <w:color w:val="0000FF"/>
                <w:w w:val="92"/>
              </w:rPr>
            </w:pPr>
            <w:hyperlink r:id="rId222">
              <w:r>
                <w:rPr>
                  <w:rFonts w:ascii="Arial" w:cs="Arial" w:eastAsia="Arial" w:hAnsi="Arial"/>
                  <w:sz w:val="18"/>
                  <w:szCs w:val="18"/>
                  <w:color w:val="0000FF"/>
                  <w:w w:val="92"/>
                </w:rPr>
                <w:t>Form of Restricted Stock Unit Award Agreement under</w:t>
              </w:r>
            </w:hyperlink>
          </w:p>
        </w:tc>
        <w:tc>
          <w:tcPr>
            <w:tcW w:w="480" w:type="dxa"/>
            <w:vAlign w:val="bottom"/>
            <w:gridSpan w:val="15"/>
          </w:tcPr>
          <w:p>
            <w:pPr>
              <w:spacing w:after="0"/>
              <w:rPr>
                <w:sz w:val="24"/>
                <w:szCs w:val="24"/>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8/8/18</w:t>
            </w:r>
          </w:p>
        </w:tc>
      </w:tr>
      <w:tr>
        <w:trPr>
          <w:trHeight w:val="142"/>
        </w:trPr>
        <w:tc>
          <w:tcPr>
            <w:tcW w:w="920" w:type="dxa"/>
            <w:vAlign w:val="bottom"/>
          </w:tcPr>
          <w:p>
            <w:pPr>
              <w:spacing w:after="0"/>
              <w:rPr>
                <w:sz w:val="12"/>
                <w:szCs w:val="12"/>
                <w:color w:val="auto"/>
              </w:rPr>
            </w:pPr>
          </w:p>
        </w:tc>
        <w:tc>
          <w:tcPr>
            <w:tcW w:w="4540" w:type="dxa"/>
            <w:vAlign w:val="bottom"/>
            <w:gridSpan w:val="35"/>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Sarepta Therapeutics, Inc. 2014 Employment Commencement</w:t>
              </w:r>
            </w:hyperlink>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5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Incentive Plan</w:t>
              </w:r>
            </w:hyperlink>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10.32†</w:t>
            </w:r>
          </w:p>
        </w:tc>
        <w:tc>
          <w:tcPr>
            <w:tcW w:w="4540" w:type="dxa"/>
            <w:vAlign w:val="bottom"/>
            <w:gridSpan w:val="35"/>
          </w:tcPr>
          <w:p>
            <w:pPr>
              <w:spacing w:after="0"/>
              <w:rPr>
                <w:rFonts w:ascii="Arial" w:cs="Arial" w:eastAsia="Arial" w:hAnsi="Arial"/>
                <w:sz w:val="18"/>
                <w:szCs w:val="18"/>
                <w:color w:val="0000FF"/>
                <w:w w:val="99"/>
              </w:rPr>
            </w:pPr>
            <w:hyperlink r:id="rId223">
              <w:r>
                <w:rPr>
                  <w:rFonts w:ascii="Arial" w:cs="Arial" w:eastAsia="Arial" w:hAnsi="Arial"/>
                  <w:sz w:val="18"/>
                  <w:szCs w:val="18"/>
                  <w:color w:val="0000FF"/>
                  <w:w w:val="99"/>
                </w:rPr>
                <w:t>Amendment No. 2 to the Sarepta Therapeutics, Inc. 2014</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10.6</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8/8/18</w:t>
            </w:r>
          </w:p>
        </w:tc>
      </w:tr>
      <w:tr>
        <w:trPr>
          <w:trHeight w:val="142"/>
        </w:trPr>
        <w:tc>
          <w:tcPr>
            <w:tcW w:w="9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Employment Commencement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900" w:type="dxa"/>
            <w:vAlign w:val="bottom"/>
            <w:tcBorders>
              <w:top w:val="single" w:sz="8" w:color="0000FF"/>
            </w:tcBorders>
            <w:gridSpan w:val="12"/>
          </w:tcPr>
          <w:p>
            <w:pPr>
              <w:spacing w:after="0"/>
              <w:rPr>
                <w:sz w:val="12"/>
                <w:szCs w:val="12"/>
                <w:color w:val="auto"/>
              </w:rPr>
            </w:pPr>
          </w:p>
        </w:tc>
        <w:tc>
          <w:tcPr>
            <w:tcW w:w="120" w:type="dxa"/>
            <w:vAlign w:val="bottom"/>
            <w:gridSpan w:val="3"/>
          </w:tcPr>
          <w:p>
            <w:pPr>
              <w:spacing w:after="0"/>
              <w:rPr>
                <w:sz w:val="12"/>
                <w:szCs w:val="12"/>
                <w:color w:val="auto"/>
              </w:rPr>
            </w:pPr>
          </w:p>
        </w:tc>
        <w:tc>
          <w:tcPr>
            <w:tcW w:w="260" w:type="dxa"/>
            <w:vAlign w:val="bottom"/>
            <w:gridSpan w:val="9"/>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10.33†</w:t>
            </w:r>
          </w:p>
        </w:tc>
        <w:tc>
          <w:tcPr>
            <w:tcW w:w="4540" w:type="dxa"/>
            <w:vAlign w:val="bottom"/>
            <w:gridSpan w:val="35"/>
          </w:tcPr>
          <w:p>
            <w:pPr>
              <w:spacing w:after="0"/>
              <w:rPr>
                <w:rFonts w:ascii="Arial" w:cs="Arial" w:eastAsia="Arial" w:hAnsi="Arial"/>
                <w:sz w:val="18"/>
                <w:szCs w:val="18"/>
                <w:color w:val="0000FF"/>
              </w:rPr>
            </w:pPr>
            <w:hyperlink r:id="rId224">
              <w:r>
                <w:rPr>
                  <w:rFonts w:ascii="Arial" w:cs="Arial" w:eastAsia="Arial" w:hAnsi="Arial"/>
                  <w:sz w:val="18"/>
                  <w:szCs w:val="18"/>
                  <w:color w:val="0000FF"/>
                </w:rPr>
                <w:t>Form of Stock Option Award Agreement under Sarepta</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2260" w:type="dxa"/>
            <w:vAlign w:val="bottom"/>
          </w:tcPr>
          <w:p>
            <w:pPr>
              <w:jc w:val="center"/>
              <w:ind w:right="890"/>
              <w:spacing w:after="0"/>
              <w:rPr>
                <w:sz w:val="20"/>
                <w:szCs w:val="20"/>
                <w:color w:val="auto"/>
              </w:rPr>
            </w:pPr>
            <w:r>
              <w:rPr>
                <w:rFonts w:ascii="Arial" w:cs="Arial" w:eastAsia="Arial" w:hAnsi="Arial"/>
                <w:sz w:val="18"/>
                <w:szCs w:val="18"/>
                <w:color w:val="auto"/>
                <w:w w:val="91"/>
              </w:rPr>
              <w:t>10/31/18</w:t>
            </w:r>
          </w:p>
        </w:tc>
      </w:tr>
      <w:tr>
        <w:trPr>
          <w:trHeight w:val="142"/>
        </w:trPr>
        <w:tc>
          <w:tcPr>
            <w:tcW w:w="920" w:type="dxa"/>
            <w:vAlign w:val="bottom"/>
          </w:tcPr>
          <w:p>
            <w:pPr>
              <w:spacing w:after="0"/>
              <w:rPr>
                <w:sz w:val="12"/>
                <w:szCs w:val="12"/>
                <w:color w:val="auto"/>
              </w:rPr>
            </w:pPr>
          </w:p>
        </w:tc>
        <w:tc>
          <w:tcPr>
            <w:tcW w:w="40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Therapeutics, Inc. 2018 Equity Incentive Plan</w:t>
              </w:r>
            </w:hyperlink>
          </w:p>
        </w:tc>
        <w:tc>
          <w:tcPr>
            <w:tcW w:w="240" w:type="dxa"/>
            <w:vAlign w:val="bottom"/>
            <w:gridSpan w:val="7"/>
          </w:tcPr>
          <w:p>
            <w:pPr>
              <w:spacing w:after="0"/>
              <w:rPr>
                <w:sz w:val="12"/>
                <w:szCs w:val="12"/>
                <w:color w:val="auto"/>
              </w:rPr>
            </w:pPr>
          </w:p>
        </w:tc>
        <w:tc>
          <w:tcPr>
            <w:tcW w:w="260" w:type="dxa"/>
            <w:vAlign w:val="bottom"/>
            <w:gridSpan w:val="9"/>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3320" w:type="dxa"/>
            <w:vAlign w:val="bottom"/>
            <w:tcBorders>
              <w:right w:val="single" w:sz="8" w:color="0000EE"/>
            </w:tcBorders>
            <w:gridSpan w:val="12"/>
            <w:shd w:val="clear" w:color="auto" w:fill="0000FF"/>
          </w:tcPr>
          <w:p>
            <w:pPr>
              <w:spacing w:after="0" w:line="20" w:lineRule="exact"/>
              <w:rPr>
                <w:sz w:val="1"/>
                <w:szCs w:val="1"/>
                <w:color w:val="auto"/>
              </w:rPr>
            </w:pPr>
          </w:p>
        </w:tc>
        <w:tc>
          <w:tcPr>
            <w:tcW w:w="960" w:type="dxa"/>
            <w:vAlign w:val="bottom"/>
            <w:gridSpan w:val="1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10.34†</w:t>
            </w:r>
          </w:p>
        </w:tc>
        <w:tc>
          <w:tcPr>
            <w:tcW w:w="4540" w:type="dxa"/>
            <w:vAlign w:val="bottom"/>
            <w:gridSpan w:val="35"/>
          </w:tcPr>
          <w:p>
            <w:pPr>
              <w:spacing w:after="0"/>
              <w:rPr>
                <w:rFonts w:ascii="Arial" w:cs="Arial" w:eastAsia="Arial" w:hAnsi="Arial"/>
                <w:sz w:val="18"/>
                <w:szCs w:val="18"/>
                <w:color w:val="0000FF"/>
                <w:w w:val="96"/>
              </w:rPr>
            </w:pPr>
            <w:hyperlink r:id="rId225">
              <w:r>
                <w:rPr>
                  <w:rFonts w:ascii="Arial" w:cs="Arial" w:eastAsia="Arial" w:hAnsi="Arial"/>
                  <w:sz w:val="18"/>
                  <w:szCs w:val="18"/>
                  <w:color w:val="0000FF"/>
                  <w:w w:val="96"/>
                </w:rPr>
                <w:t>Form of Restricted Stock Award Agreement under Sarepta</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2260" w:type="dxa"/>
            <w:vAlign w:val="bottom"/>
          </w:tcPr>
          <w:p>
            <w:pPr>
              <w:jc w:val="center"/>
              <w:ind w:right="890"/>
              <w:spacing w:after="0"/>
              <w:rPr>
                <w:sz w:val="20"/>
                <w:szCs w:val="20"/>
                <w:color w:val="auto"/>
              </w:rPr>
            </w:pPr>
            <w:r>
              <w:rPr>
                <w:rFonts w:ascii="Arial" w:cs="Arial" w:eastAsia="Arial" w:hAnsi="Arial"/>
                <w:sz w:val="18"/>
                <w:szCs w:val="18"/>
                <w:color w:val="auto"/>
                <w:w w:val="91"/>
              </w:rPr>
              <w:t>10/31/18</w:t>
            </w:r>
          </w:p>
        </w:tc>
      </w:tr>
      <w:tr>
        <w:trPr>
          <w:trHeight w:val="142"/>
        </w:trPr>
        <w:tc>
          <w:tcPr>
            <w:tcW w:w="920" w:type="dxa"/>
            <w:vAlign w:val="bottom"/>
          </w:tcPr>
          <w:p>
            <w:pPr>
              <w:spacing w:after="0"/>
              <w:rPr>
                <w:sz w:val="12"/>
                <w:szCs w:val="12"/>
                <w:color w:val="auto"/>
              </w:rPr>
            </w:pPr>
          </w:p>
        </w:tc>
        <w:tc>
          <w:tcPr>
            <w:tcW w:w="42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Therapeutics, Inc. 2018 Equity Incentive Plan</w:t>
              </w:r>
            </w:hyperlink>
          </w:p>
        </w:tc>
        <w:tc>
          <w:tcPr>
            <w:tcW w:w="260" w:type="dxa"/>
            <w:vAlign w:val="bottom"/>
            <w:gridSpan w:val="9"/>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3320" w:type="dxa"/>
            <w:vAlign w:val="bottom"/>
            <w:tcBorders>
              <w:right w:val="single" w:sz="8" w:color="0000EE"/>
            </w:tcBorders>
            <w:gridSpan w:val="12"/>
            <w:shd w:val="clear" w:color="auto" w:fill="0000FF"/>
          </w:tcPr>
          <w:p>
            <w:pPr>
              <w:spacing w:after="0" w:line="20" w:lineRule="exact"/>
              <w:rPr>
                <w:sz w:val="1"/>
                <w:szCs w:val="1"/>
                <w:color w:val="auto"/>
              </w:rPr>
            </w:pPr>
          </w:p>
        </w:tc>
        <w:tc>
          <w:tcPr>
            <w:tcW w:w="1220" w:type="dxa"/>
            <w:vAlign w:val="bottom"/>
            <w:gridSpan w:val="2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10.35†</w:t>
            </w:r>
          </w:p>
        </w:tc>
        <w:tc>
          <w:tcPr>
            <w:tcW w:w="4540" w:type="dxa"/>
            <w:vAlign w:val="bottom"/>
            <w:gridSpan w:val="35"/>
          </w:tcPr>
          <w:p>
            <w:pPr>
              <w:spacing w:after="0"/>
              <w:rPr>
                <w:rFonts w:ascii="Arial" w:cs="Arial" w:eastAsia="Arial" w:hAnsi="Arial"/>
                <w:sz w:val="18"/>
                <w:szCs w:val="18"/>
                <w:color w:val="0000FF"/>
              </w:rPr>
            </w:pPr>
            <w:hyperlink r:id="rId226">
              <w:r>
                <w:rPr>
                  <w:rFonts w:ascii="Arial" w:cs="Arial" w:eastAsia="Arial" w:hAnsi="Arial"/>
                  <w:sz w:val="18"/>
                  <w:szCs w:val="18"/>
                  <w:color w:val="0000FF"/>
                </w:rPr>
                <w:t>Form of Restricted Stock Unit Award Agreement under</w:t>
              </w:r>
            </w:hyperlink>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001-14895</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2260" w:type="dxa"/>
            <w:vAlign w:val="bottom"/>
          </w:tcPr>
          <w:p>
            <w:pPr>
              <w:jc w:val="center"/>
              <w:ind w:right="890"/>
              <w:spacing w:after="0"/>
              <w:rPr>
                <w:sz w:val="20"/>
                <w:szCs w:val="20"/>
                <w:color w:val="auto"/>
              </w:rPr>
            </w:pPr>
            <w:r>
              <w:rPr>
                <w:rFonts w:ascii="Arial" w:cs="Arial" w:eastAsia="Arial" w:hAnsi="Arial"/>
                <w:sz w:val="18"/>
                <w:szCs w:val="18"/>
                <w:color w:val="auto"/>
                <w:w w:val="91"/>
              </w:rPr>
              <w:t>10/31/18</w:t>
            </w:r>
          </w:p>
        </w:tc>
      </w:tr>
      <w:tr>
        <w:trPr>
          <w:trHeight w:val="142"/>
        </w:trPr>
        <w:tc>
          <w:tcPr>
            <w:tcW w:w="920" w:type="dxa"/>
            <w:vAlign w:val="bottom"/>
          </w:tcPr>
          <w:p>
            <w:pPr>
              <w:spacing w:after="0"/>
              <w:rPr>
                <w:sz w:val="12"/>
                <w:szCs w:val="12"/>
                <w:color w:val="auto"/>
              </w:rPr>
            </w:pPr>
          </w:p>
        </w:tc>
        <w:tc>
          <w:tcPr>
            <w:tcW w:w="40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Sarepta Therapeutics, Inc. 2018 Equity Incentive Plan</w:t>
              </w:r>
            </w:hyperlink>
          </w:p>
        </w:tc>
        <w:tc>
          <w:tcPr>
            <w:tcW w:w="480" w:type="dxa"/>
            <w:vAlign w:val="bottom"/>
            <w:gridSpan w:val="15"/>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763"/>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ind w:right="750"/>
              <w:spacing w:after="0"/>
              <w:rPr>
                <w:sz w:val="20"/>
                <w:szCs w:val="20"/>
                <w:color w:val="auto"/>
              </w:rPr>
            </w:pPr>
            <w:r>
              <w:rPr>
                <w:rFonts w:ascii="Arial" w:cs="Arial" w:eastAsia="Arial" w:hAnsi="Arial"/>
                <w:sz w:val="18"/>
                <w:szCs w:val="18"/>
                <w:color w:val="auto"/>
                <w:w w:val="93"/>
              </w:rPr>
              <w:t>-88-</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920" w:type="dxa"/>
            <w:vAlign w:val="bottom"/>
          </w:tcPr>
          <w:p>
            <w:pPr>
              <w:ind w:left="120"/>
              <w:spacing w:after="0"/>
              <w:rPr>
                <w:sz w:val="20"/>
                <w:szCs w:val="20"/>
                <w:color w:val="auto"/>
              </w:rPr>
            </w:pPr>
            <w:r>
              <w:rPr>
                <w:rFonts w:ascii="Arial" w:cs="Arial" w:eastAsia="Arial" w:hAnsi="Arial"/>
                <w:sz w:val="18"/>
                <w:szCs w:val="18"/>
                <w:color w:val="auto"/>
              </w:rPr>
              <w:t>10.36†</w:t>
            </w:r>
          </w:p>
        </w:tc>
        <w:tc>
          <w:tcPr>
            <w:tcW w:w="4500" w:type="dxa"/>
            <w:vAlign w:val="bottom"/>
            <w:gridSpan w:val="41"/>
          </w:tcPr>
          <w:p>
            <w:pPr>
              <w:spacing w:after="0"/>
              <w:rPr>
                <w:rFonts w:ascii="Arial" w:cs="Arial" w:eastAsia="Arial" w:hAnsi="Arial"/>
                <w:sz w:val="18"/>
                <w:szCs w:val="18"/>
                <w:color w:val="0000FF"/>
                <w:w w:val="96"/>
              </w:rPr>
            </w:pPr>
            <w:hyperlink r:id="rId229">
              <w:r>
                <w:rPr>
                  <w:rFonts w:ascii="Arial" w:cs="Arial" w:eastAsia="Arial" w:hAnsi="Arial"/>
                  <w:sz w:val="18"/>
                  <w:szCs w:val="18"/>
                  <w:color w:val="0000FF"/>
                  <w:w w:val="96"/>
                </w:rPr>
                <w:t>Form of Stock Appreciation Right Award Agreement under</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60" w:type="dxa"/>
            <w:vAlign w:val="bottom"/>
          </w:tcPr>
          <w:p>
            <w:pPr>
              <w:jc w:val="center"/>
              <w:ind w:right="890"/>
              <w:spacing w:after="0"/>
              <w:rPr>
                <w:sz w:val="20"/>
                <w:szCs w:val="20"/>
                <w:color w:val="auto"/>
              </w:rPr>
            </w:pPr>
            <w:r>
              <w:rPr>
                <w:rFonts w:ascii="Arial" w:cs="Arial" w:eastAsia="Arial" w:hAnsi="Arial"/>
                <w:sz w:val="18"/>
                <w:szCs w:val="18"/>
                <w:color w:val="auto"/>
                <w:w w:val="91"/>
              </w:rPr>
              <w:t>10/31/18</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Sarepta Therapeutics, Inc. 2018 Equity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4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10.37†</w:t>
            </w:r>
          </w:p>
        </w:tc>
        <w:tc>
          <w:tcPr>
            <w:tcW w:w="4500" w:type="dxa"/>
            <w:vAlign w:val="bottom"/>
            <w:gridSpan w:val="41"/>
          </w:tcPr>
          <w:p>
            <w:pPr>
              <w:spacing w:after="0"/>
              <w:rPr>
                <w:rFonts w:ascii="Arial" w:cs="Arial" w:eastAsia="Arial" w:hAnsi="Arial"/>
                <w:sz w:val="18"/>
                <w:szCs w:val="18"/>
                <w:color w:val="0000FF"/>
                <w:w w:val="94"/>
              </w:rPr>
            </w:pPr>
            <w:hyperlink r:id="rId230">
              <w:r>
                <w:rPr>
                  <w:rFonts w:ascii="Arial" w:cs="Arial" w:eastAsia="Arial" w:hAnsi="Arial"/>
                  <w:sz w:val="18"/>
                  <w:szCs w:val="18"/>
                  <w:color w:val="0000FF"/>
                  <w:w w:val="94"/>
                </w:rPr>
                <w:t>Amendment to Restricted Stock Award Agreement between</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10.75</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2/28/19</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3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Douglas S. Ingram and Sarepta Therapeutics, Inc.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230">
              <w:r>
                <w:rPr>
                  <w:rFonts w:ascii="Arial" w:cs="Arial" w:eastAsia="Arial" w:hAnsi="Arial"/>
                  <w:sz w:val="16"/>
                  <w:szCs w:val="16"/>
                  <w:color w:val="0000FF"/>
                  <w:w w:val="99"/>
                </w:rPr>
                <w:t>December 17, 2018</w:t>
              </w:r>
            </w:hyperlink>
          </w:p>
        </w:tc>
        <w:tc>
          <w:tcPr>
            <w:tcW w:w="20" w:type="dxa"/>
            <w:vAlign w:val="bottom"/>
            <w:tcBorders>
              <w:top w:val="single" w:sz="8" w:color="0000FF"/>
              <w:bottom w:val="single" w:sz="8" w:color="0000EE"/>
            </w:tcBorders>
          </w:tcPr>
          <w:p>
            <w:pPr>
              <w:spacing w:after="0"/>
              <w:rPr>
                <w:sz w:val="12"/>
                <w:szCs w:val="12"/>
                <w:color w:val="auto"/>
              </w:rPr>
            </w:pPr>
          </w:p>
        </w:tc>
        <w:tc>
          <w:tcPr>
            <w:tcW w:w="262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920" w:type="dxa"/>
            <w:vAlign w:val="bottom"/>
          </w:tcPr>
          <w:p>
            <w:pPr>
              <w:ind w:left="120"/>
              <w:spacing w:after="0"/>
              <w:rPr>
                <w:sz w:val="20"/>
                <w:szCs w:val="20"/>
                <w:color w:val="auto"/>
              </w:rPr>
            </w:pPr>
            <w:r>
              <w:rPr>
                <w:rFonts w:ascii="Arial" w:cs="Arial" w:eastAsia="Arial" w:hAnsi="Arial"/>
                <w:sz w:val="18"/>
                <w:szCs w:val="18"/>
                <w:color w:val="auto"/>
              </w:rPr>
              <w:t>10.38^</w:t>
            </w:r>
          </w:p>
        </w:tc>
        <w:tc>
          <w:tcPr>
            <w:tcW w:w="4500" w:type="dxa"/>
            <w:vAlign w:val="bottom"/>
            <w:gridSpan w:val="41"/>
          </w:tcPr>
          <w:p>
            <w:pPr>
              <w:spacing w:after="0"/>
              <w:rPr>
                <w:rFonts w:ascii="Arial" w:cs="Arial" w:eastAsia="Arial" w:hAnsi="Arial"/>
                <w:sz w:val="18"/>
                <w:szCs w:val="18"/>
                <w:color w:val="0000FF"/>
                <w:w w:val="96"/>
              </w:rPr>
            </w:pPr>
            <w:hyperlink r:id="rId231">
              <w:r>
                <w:rPr>
                  <w:rFonts w:ascii="Arial" w:cs="Arial" w:eastAsia="Arial" w:hAnsi="Arial"/>
                  <w:sz w:val="18"/>
                  <w:szCs w:val="18"/>
                  <w:color w:val="0000FF"/>
                  <w:w w:val="96"/>
                </w:rPr>
                <w:t>Amendment No. 1 to License Agreement between Sarepta</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8/7/19</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33"/>
          </w:tcPr>
          <w:p>
            <w:pPr>
              <w:spacing w:after="0" w:line="149" w:lineRule="exact"/>
              <w:rPr>
                <w:rFonts w:ascii="Arial" w:cs="Arial" w:eastAsia="Arial" w:hAnsi="Arial"/>
                <w:sz w:val="17"/>
                <w:szCs w:val="17"/>
                <w:color w:val="0000FF"/>
                <w:w w:val="96"/>
              </w:rPr>
            </w:pPr>
            <w:hyperlink r:id="rId231">
              <w:r>
                <w:rPr>
                  <w:rFonts w:ascii="Arial" w:cs="Arial" w:eastAsia="Arial" w:hAnsi="Arial"/>
                  <w:sz w:val="17"/>
                  <w:szCs w:val="17"/>
                  <w:color w:val="0000FF"/>
                  <w:w w:val="96"/>
                </w:rPr>
                <w:t>Therapeutics, Inc. and ST International Holdings Two, Inc.</w:t>
              </w:r>
            </w:hyperlink>
          </w:p>
        </w:tc>
        <w:tc>
          <w:tcPr>
            <w:tcW w:w="20" w:type="dxa"/>
            <w:vAlign w:val="bottom"/>
            <w:tcBorders>
              <w:bottom w:val="single" w:sz="8" w:color="0000FF"/>
            </w:tcBorders>
          </w:tcPr>
          <w:p>
            <w:pPr>
              <w:spacing w:after="0"/>
              <w:rPr>
                <w:sz w:val="12"/>
                <w:szCs w:val="12"/>
                <w:color w:val="auto"/>
              </w:rPr>
            </w:pPr>
          </w:p>
        </w:tc>
        <w:tc>
          <w:tcPr>
            <w:tcW w:w="220" w:type="dxa"/>
            <w:vAlign w:val="bottom"/>
            <w:tcBorders>
              <w:bottom w:val="single" w:sz="8" w:color="0000FF"/>
            </w:tcBorders>
            <w:gridSpan w:val="7"/>
          </w:tcPr>
          <w:p>
            <w:pPr>
              <w:ind w:left="20"/>
              <w:spacing w:after="0" w:line="149" w:lineRule="exact"/>
              <w:rPr>
                <w:rFonts w:ascii="Arial" w:cs="Arial" w:eastAsia="Arial" w:hAnsi="Arial"/>
                <w:sz w:val="17"/>
                <w:szCs w:val="17"/>
                <w:color w:val="0000FF"/>
                <w:w w:val="94"/>
              </w:rPr>
            </w:pPr>
            <w:hyperlink r:id="rId231">
              <w:r>
                <w:rPr>
                  <w:rFonts w:ascii="Arial" w:cs="Arial" w:eastAsia="Arial" w:hAnsi="Arial"/>
                  <w:sz w:val="17"/>
                  <w:szCs w:val="17"/>
                  <w:color w:val="0000FF"/>
                  <w:w w:val="94"/>
                </w:rPr>
                <w:t>on</w:t>
              </w:r>
            </w:hyperlink>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80" w:type="dxa"/>
            <w:vAlign w:val="bottom"/>
            <w:tcBorders>
              <w:bottom w:val="single" w:sz="8" w:color="0000FF"/>
            </w:tcBorders>
            <w:gridSpan w:val="34"/>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the one hand and BioMarin Leiden Holding BV, BioMarin</w:t>
              </w:r>
            </w:hyperlink>
          </w:p>
        </w:tc>
        <w:tc>
          <w:tcPr>
            <w:tcW w:w="220" w:type="dxa"/>
            <w:vAlign w:val="bottom"/>
            <w:gridSpan w:val="7"/>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00" w:type="dxa"/>
            <w:vAlign w:val="bottom"/>
            <w:gridSpan w:val="41"/>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Nederlands BV and BioMarin Technologies BV on the other</w:t>
              </w:r>
            </w:hyperlink>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r:id="rId231">
              <w:r>
                <w:rPr>
                  <w:rFonts w:ascii="Arial" w:cs="Arial" w:eastAsia="Arial" w:hAnsi="Arial"/>
                  <w:sz w:val="16"/>
                  <w:szCs w:val="16"/>
                  <w:color w:val="0000FF"/>
                  <w:w w:val="95"/>
                </w:rPr>
                <w:t>hand</w:t>
              </w:r>
            </w:hyperlink>
          </w:p>
        </w:tc>
        <w:tc>
          <w:tcPr>
            <w:tcW w:w="20" w:type="dxa"/>
            <w:vAlign w:val="bottom"/>
            <w:tcBorders>
              <w:top w:val="single" w:sz="8" w:color="0000FF"/>
              <w:bottom w:val="single" w:sz="8" w:color="0000EE"/>
            </w:tcBorders>
          </w:tcPr>
          <w:p>
            <w:pPr>
              <w:spacing w:after="0"/>
              <w:rPr>
                <w:sz w:val="12"/>
                <w:szCs w:val="12"/>
                <w:color w:val="auto"/>
              </w:rPr>
            </w:pPr>
          </w:p>
        </w:tc>
        <w:tc>
          <w:tcPr>
            <w:tcW w:w="4040" w:type="dxa"/>
            <w:vAlign w:val="bottom"/>
            <w:tcBorders>
              <w:top w:val="single" w:sz="8" w:color="0000FF"/>
            </w:tcBorders>
            <w:gridSpan w:val="37"/>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920" w:type="dxa"/>
            <w:vAlign w:val="bottom"/>
          </w:tcPr>
          <w:p>
            <w:pPr>
              <w:ind w:left="120"/>
              <w:spacing w:after="0"/>
              <w:rPr>
                <w:sz w:val="20"/>
                <w:szCs w:val="20"/>
                <w:color w:val="auto"/>
              </w:rPr>
            </w:pPr>
            <w:r>
              <w:rPr>
                <w:rFonts w:ascii="Arial" w:cs="Arial" w:eastAsia="Arial" w:hAnsi="Arial"/>
                <w:sz w:val="18"/>
                <w:szCs w:val="18"/>
                <w:color w:val="auto"/>
              </w:rPr>
              <w:t>10.39†</w:t>
            </w:r>
          </w:p>
        </w:tc>
        <w:tc>
          <w:tcPr>
            <w:tcW w:w="4500" w:type="dxa"/>
            <w:vAlign w:val="bottom"/>
            <w:tcBorders>
              <w:bottom w:val="single" w:sz="8" w:color="0000FF"/>
            </w:tcBorders>
            <w:gridSpan w:val="41"/>
          </w:tcPr>
          <w:p>
            <w:pPr>
              <w:spacing w:after="0"/>
              <w:rPr>
                <w:rFonts w:ascii="Arial" w:cs="Arial" w:eastAsia="Arial" w:hAnsi="Arial"/>
                <w:sz w:val="18"/>
                <w:szCs w:val="18"/>
                <w:color w:val="0000FF"/>
                <w:w w:val="90"/>
              </w:rPr>
            </w:pPr>
            <w:hyperlink r:id="rId232">
              <w:r>
                <w:rPr>
                  <w:rFonts w:ascii="Arial" w:cs="Arial" w:eastAsia="Arial" w:hAnsi="Arial"/>
                  <w:sz w:val="18"/>
                  <w:szCs w:val="18"/>
                  <w:color w:val="0000FF"/>
                  <w:w w:val="90"/>
                </w:rPr>
                <w:t>Amendment No. 1 to the Sarepta Therapeutics, Inc. Amended</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8/7/19</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00" w:type="dxa"/>
            <w:vAlign w:val="bottom"/>
            <w:gridSpan w:val="41"/>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and Restated 2013 Employment Stock Purchase Plan (as</w:t>
              </w:r>
            </w:hyperlink>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Amended and Restated on June 27, 2016)</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10.40</w:t>
            </w:r>
          </w:p>
        </w:tc>
        <w:tc>
          <w:tcPr>
            <w:tcW w:w="4500" w:type="dxa"/>
            <w:vAlign w:val="bottom"/>
            <w:gridSpan w:val="41"/>
          </w:tcPr>
          <w:p>
            <w:pPr>
              <w:spacing w:after="0"/>
              <w:rPr>
                <w:rFonts w:ascii="Arial" w:cs="Arial" w:eastAsia="Arial" w:hAnsi="Arial"/>
                <w:sz w:val="18"/>
                <w:szCs w:val="18"/>
                <w:color w:val="0000FF"/>
                <w:w w:val="96"/>
              </w:rPr>
            </w:pPr>
            <w:hyperlink r:id="rId233">
              <w:r>
                <w:rPr>
                  <w:rFonts w:ascii="Arial" w:cs="Arial" w:eastAsia="Arial" w:hAnsi="Arial"/>
                  <w:sz w:val="18"/>
                  <w:szCs w:val="18"/>
                  <w:color w:val="0000FF"/>
                  <w:w w:val="96"/>
                </w:rPr>
                <w:t>Letter Agreement between Sarepta Therapeutics, Inc. and</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5/8/19</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Myonexus Therapeutics, Inc. dated February 26, 2019</w:t>
              </w:r>
            </w:hyperlink>
          </w:p>
        </w:tc>
        <w:tc>
          <w:tcPr>
            <w:tcW w:w="28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10.41†</w:t>
            </w:r>
          </w:p>
        </w:tc>
        <w:tc>
          <w:tcPr>
            <w:tcW w:w="4500" w:type="dxa"/>
            <w:vAlign w:val="bottom"/>
            <w:gridSpan w:val="41"/>
          </w:tcPr>
          <w:p>
            <w:pPr>
              <w:spacing w:after="0"/>
              <w:rPr>
                <w:rFonts w:ascii="Arial" w:cs="Arial" w:eastAsia="Arial" w:hAnsi="Arial"/>
                <w:sz w:val="18"/>
                <w:szCs w:val="18"/>
                <w:color w:val="0000FF"/>
              </w:rPr>
            </w:pPr>
            <w:hyperlink r:id="rId234">
              <w:r>
                <w:rPr>
                  <w:rFonts w:ascii="Arial" w:cs="Arial" w:eastAsia="Arial" w:hAnsi="Arial"/>
                  <w:sz w:val="18"/>
                  <w:szCs w:val="18"/>
                  <w:color w:val="0000FF"/>
                </w:rPr>
                <w:t>Form of Executive Vice President Severance Letter</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5/8/19</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7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Agreement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10.42†</w:t>
            </w:r>
          </w:p>
        </w:tc>
        <w:tc>
          <w:tcPr>
            <w:tcW w:w="4500" w:type="dxa"/>
            <w:vAlign w:val="bottom"/>
            <w:gridSpan w:val="41"/>
          </w:tcPr>
          <w:p>
            <w:pPr>
              <w:spacing w:after="0"/>
              <w:rPr>
                <w:rFonts w:ascii="Arial" w:cs="Arial" w:eastAsia="Arial" w:hAnsi="Arial"/>
                <w:sz w:val="18"/>
                <w:szCs w:val="18"/>
                <w:color w:val="0000FF"/>
                <w:w w:val="99"/>
              </w:rPr>
            </w:pPr>
            <w:hyperlink r:id="rId235">
              <w:r>
                <w:rPr>
                  <w:rFonts w:ascii="Arial" w:cs="Arial" w:eastAsia="Arial" w:hAnsi="Arial"/>
                  <w:sz w:val="18"/>
                  <w:szCs w:val="18"/>
                  <w:color w:val="0000FF"/>
                  <w:w w:val="99"/>
                </w:rPr>
                <w:t>Form of Executive Vice President Change in Control and</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91"/>
              </w:rPr>
              <w:t>5/8/19</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Severance Agreement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8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10.43^</w:t>
            </w:r>
          </w:p>
        </w:tc>
        <w:tc>
          <w:tcPr>
            <w:tcW w:w="4080" w:type="dxa"/>
            <w:vAlign w:val="bottom"/>
            <w:tcBorders>
              <w:bottom w:val="single" w:sz="8" w:color="0000FF"/>
            </w:tcBorders>
            <w:gridSpan w:val="26"/>
          </w:tcPr>
          <w:p>
            <w:pPr>
              <w:spacing w:after="0"/>
              <w:rPr>
                <w:rFonts w:ascii="Arial" w:cs="Arial" w:eastAsia="Arial" w:hAnsi="Arial"/>
                <w:sz w:val="18"/>
                <w:szCs w:val="18"/>
                <w:color w:val="0000FF"/>
                <w:w w:val="91"/>
              </w:rPr>
            </w:pPr>
            <w:hyperlink r:id="rId236">
              <w:r>
                <w:rPr>
                  <w:rFonts w:ascii="Arial" w:cs="Arial" w:eastAsia="Arial" w:hAnsi="Arial"/>
                  <w:sz w:val="18"/>
                  <w:szCs w:val="18"/>
                  <w:color w:val="0000FF"/>
                  <w:w w:val="91"/>
                </w:rPr>
                <w:t>License, Collaboration, and Option Agreement between</w:t>
              </w:r>
            </w:hyperlink>
          </w:p>
        </w:tc>
        <w:tc>
          <w:tcPr>
            <w:tcW w:w="420" w:type="dxa"/>
            <w:vAlign w:val="bottom"/>
            <w:gridSpan w:val="15"/>
          </w:tcPr>
          <w:p>
            <w:pPr>
              <w:spacing w:after="0"/>
              <w:rPr>
                <w:sz w:val="24"/>
                <w:szCs w:val="24"/>
                <w:color w:val="auto"/>
              </w:rPr>
            </w:pP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00" w:type="dxa"/>
            <w:vAlign w:val="bottom"/>
            <w:gridSpan w:val="41"/>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Sarepta Therapeutics Three, LLC and F. Hoffman-La Roche</w:t>
              </w:r>
            </w:hyperlink>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4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Ltd dated December 21, 2019</w:t>
              </w:r>
            </w:hyperlink>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8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10.44</w:t>
            </w:r>
          </w:p>
        </w:tc>
        <w:tc>
          <w:tcPr>
            <w:tcW w:w="4500" w:type="dxa"/>
            <w:vAlign w:val="bottom"/>
            <w:gridSpan w:val="41"/>
          </w:tcPr>
          <w:p>
            <w:pPr>
              <w:spacing w:after="0"/>
              <w:rPr>
                <w:rFonts w:ascii="Arial" w:cs="Arial" w:eastAsia="Arial" w:hAnsi="Arial"/>
                <w:sz w:val="18"/>
                <w:szCs w:val="18"/>
                <w:color w:val="0000FF"/>
                <w:w w:val="94"/>
              </w:rPr>
            </w:pPr>
            <w:hyperlink r:id="rId237">
              <w:r>
                <w:rPr>
                  <w:rFonts w:ascii="Arial" w:cs="Arial" w:eastAsia="Arial" w:hAnsi="Arial"/>
                  <w:sz w:val="18"/>
                  <w:szCs w:val="18"/>
                  <w:color w:val="0000FF"/>
                  <w:w w:val="94"/>
                </w:rPr>
                <w:t>Stock Purchase Agreement between Sarepta Therapeutics,</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Inc. and Roche Finance Ltd dated December 21, 2019</w:t>
              </w:r>
            </w:hyperlink>
          </w:p>
        </w:tc>
        <w:tc>
          <w:tcPr>
            <w:tcW w:w="34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10.45</w:t>
            </w:r>
          </w:p>
        </w:tc>
        <w:tc>
          <w:tcPr>
            <w:tcW w:w="3780" w:type="dxa"/>
            <w:vAlign w:val="bottom"/>
            <w:tcBorders>
              <w:bottom w:val="single" w:sz="8" w:color="0000FF"/>
            </w:tcBorders>
            <w:gridSpan w:val="18"/>
          </w:tcPr>
          <w:p>
            <w:pPr>
              <w:spacing w:after="0"/>
              <w:rPr>
                <w:rFonts w:ascii="Arial" w:cs="Arial" w:eastAsia="Arial" w:hAnsi="Arial"/>
                <w:sz w:val="18"/>
                <w:szCs w:val="18"/>
                <w:color w:val="0000FF"/>
                <w:w w:val="90"/>
              </w:rPr>
            </w:pPr>
            <w:hyperlink r:id="rId238">
              <w:r>
                <w:rPr>
                  <w:rFonts w:ascii="Arial" w:cs="Arial" w:eastAsia="Arial" w:hAnsi="Arial"/>
                  <w:sz w:val="18"/>
                  <w:szCs w:val="18"/>
                  <w:color w:val="0000FF"/>
                  <w:w w:val="90"/>
                </w:rPr>
                <w:t>Loan Agreement among Sarepta Therapeutics, Inc.,</w:t>
              </w:r>
            </w:hyperlink>
          </w:p>
        </w:tc>
        <w:tc>
          <w:tcPr>
            <w:tcW w:w="720" w:type="dxa"/>
            <w:vAlign w:val="bottom"/>
            <w:gridSpan w:val="23"/>
          </w:tcPr>
          <w:p>
            <w:pPr>
              <w:spacing w:after="0"/>
              <w:rPr>
                <w:sz w:val="24"/>
                <w:szCs w:val="24"/>
                <w:color w:val="auto"/>
              </w:rPr>
            </w:pP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00" w:type="dxa"/>
            <w:vAlign w:val="bottom"/>
            <w:gridSpan w:val="41"/>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BioPharma Credit PLC and BioPharma Credit Investments V</w:t>
              </w:r>
            </w:hyperlink>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(Master) LP dated December 13, 2019</w:t>
              </w:r>
            </w:hyperlink>
          </w:p>
        </w:tc>
        <w:tc>
          <w:tcPr>
            <w:tcW w:w="20" w:type="dxa"/>
            <w:vAlign w:val="bottom"/>
            <w:tcBorders>
              <w:top w:val="single" w:sz="8" w:color="0000FF"/>
              <w:bottom w:val="single" w:sz="8" w:color="0000EE"/>
            </w:tcBorders>
          </w:tcPr>
          <w:p>
            <w:pPr>
              <w:spacing w:after="0"/>
              <w:rPr>
                <w:sz w:val="12"/>
                <w:szCs w:val="12"/>
                <w:color w:val="auto"/>
              </w:rPr>
            </w:pPr>
          </w:p>
        </w:tc>
        <w:tc>
          <w:tcPr>
            <w:tcW w:w="168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20"/>
              <w:spacing w:after="0"/>
              <w:rPr>
                <w:sz w:val="20"/>
                <w:szCs w:val="20"/>
                <w:color w:val="auto"/>
              </w:rPr>
            </w:pPr>
            <w:r>
              <w:rPr>
                <w:rFonts w:ascii="Arial" w:cs="Arial" w:eastAsia="Arial" w:hAnsi="Arial"/>
                <w:sz w:val="18"/>
                <w:szCs w:val="18"/>
                <w:color w:val="auto"/>
              </w:rPr>
              <w:t>10.46</w:t>
            </w:r>
          </w:p>
        </w:tc>
        <w:tc>
          <w:tcPr>
            <w:tcW w:w="4500" w:type="dxa"/>
            <w:vAlign w:val="bottom"/>
            <w:gridSpan w:val="41"/>
          </w:tcPr>
          <w:p>
            <w:pPr>
              <w:spacing w:after="0"/>
              <w:rPr>
                <w:rFonts w:ascii="Arial" w:cs="Arial" w:eastAsia="Arial" w:hAnsi="Arial"/>
                <w:sz w:val="18"/>
                <w:szCs w:val="18"/>
                <w:color w:val="0000FF"/>
              </w:rPr>
            </w:pPr>
            <w:hyperlink r:id="rId239">
              <w:r>
                <w:rPr>
                  <w:rFonts w:ascii="Arial" w:cs="Arial" w:eastAsia="Arial" w:hAnsi="Arial"/>
                  <w:sz w:val="18"/>
                  <w:szCs w:val="18"/>
                  <w:color w:val="0000FF"/>
                </w:rPr>
                <w:t>Guaranty and Security Agreement between Sarepta</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Therapeutics, Inc. and BioPharma Credit PLC dated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4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239">
              <w:r>
                <w:rPr>
                  <w:rFonts w:ascii="Arial" w:cs="Arial" w:eastAsia="Arial" w:hAnsi="Arial"/>
                  <w:sz w:val="16"/>
                  <w:szCs w:val="16"/>
                  <w:color w:val="0000FF"/>
                  <w:w w:val="99"/>
                </w:rPr>
                <w:t>December 20, 2019</w:t>
              </w:r>
            </w:hyperlink>
          </w:p>
        </w:tc>
        <w:tc>
          <w:tcPr>
            <w:tcW w:w="20" w:type="dxa"/>
            <w:vAlign w:val="bottom"/>
            <w:tcBorders>
              <w:bottom w:val="single" w:sz="8" w:color="0000EE"/>
            </w:tcBorders>
          </w:tcPr>
          <w:p>
            <w:pPr>
              <w:spacing w:after="0"/>
              <w:rPr>
                <w:sz w:val="12"/>
                <w:szCs w:val="12"/>
                <w:color w:val="auto"/>
              </w:rPr>
            </w:pPr>
          </w:p>
        </w:tc>
        <w:tc>
          <w:tcPr>
            <w:tcW w:w="2360" w:type="dxa"/>
            <w:vAlign w:val="bottom"/>
            <w:gridSpan w:val="1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10.47†</w:t>
            </w:r>
          </w:p>
        </w:tc>
        <w:tc>
          <w:tcPr>
            <w:tcW w:w="2200" w:type="dxa"/>
            <w:vAlign w:val="bottom"/>
            <w:tcBorders>
              <w:bottom w:val="single" w:sz="8" w:color="0000FF"/>
            </w:tcBorders>
            <w:gridSpan w:val="8"/>
          </w:tcPr>
          <w:p>
            <w:pPr>
              <w:spacing w:after="0"/>
              <w:rPr>
                <w:rFonts w:ascii="Arial" w:cs="Arial" w:eastAsia="Arial" w:hAnsi="Arial"/>
                <w:sz w:val="18"/>
                <w:szCs w:val="18"/>
                <w:color w:val="0000FF"/>
                <w:w w:val="91"/>
              </w:rPr>
            </w:pPr>
            <w:hyperlink r:id="rId240">
              <w:r>
                <w:rPr>
                  <w:rFonts w:ascii="Arial" w:cs="Arial" w:eastAsia="Arial" w:hAnsi="Arial"/>
                  <w:sz w:val="18"/>
                  <w:szCs w:val="18"/>
                  <w:color w:val="0000FF"/>
                  <w:w w:val="91"/>
                </w:rPr>
                <w:t>Director Compensation Policy</w:t>
              </w:r>
            </w:hyperlink>
          </w:p>
        </w:tc>
        <w:tc>
          <w:tcPr>
            <w:tcW w:w="20" w:type="dxa"/>
            <w:vAlign w:val="bottom"/>
            <w:tcBorders>
              <w:bottom w:val="single" w:sz="8" w:color="0000EE"/>
            </w:tcBorders>
          </w:tcPr>
          <w:p>
            <w:pPr>
              <w:spacing w:after="0"/>
              <w:rPr>
                <w:sz w:val="24"/>
                <w:szCs w:val="24"/>
                <w:color w:val="auto"/>
              </w:rPr>
            </w:pPr>
          </w:p>
        </w:tc>
        <w:tc>
          <w:tcPr>
            <w:tcW w:w="2280" w:type="dxa"/>
            <w:vAlign w:val="bottom"/>
            <w:gridSpan w:val="32"/>
          </w:tcPr>
          <w:p>
            <w:pPr>
              <w:spacing w:after="0"/>
              <w:rPr>
                <w:sz w:val="24"/>
                <w:szCs w:val="24"/>
                <w:color w:val="auto"/>
              </w:rPr>
            </w:pP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10.48†</w:t>
            </w:r>
          </w:p>
        </w:tc>
        <w:tc>
          <w:tcPr>
            <w:tcW w:w="4500" w:type="dxa"/>
            <w:vAlign w:val="bottom"/>
            <w:gridSpan w:val="41"/>
          </w:tcPr>
          <w:p>
            <w:pPr>
              <w:spacing w:after="0"/>
              <w:rPr>
                <w:rFonts w:ascii="Arial" w:cs="Arial" w:eastAsia="Arial" w:hAnsi="Arial"/>
                <w:sz w:val="18"/>
                <w:szCs w:val="18"/>
                <w:color w:val="0000FF"/>
              </w:rPr>
            </w:pPr>
            <w:hyperlink r:id="rId241">
              <w:r>
                <w:rPr>
                  <w:rFonts w:ascii="Arial" w:cs="Arial" w:eastAsia="Arial" w:hAnsi="Arial"/>
                  <w:sz w:val="18"/>
                  <w:szCs w:val="18"/>
                  <w:color w:val="0000FF"/>
                </w:rPr>
                <w:t>Offer Letter dated November 11, 2019 by and between</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10.56</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Sarepta Therapeutics, Inc. and William F. Ciambrone</w:t>
              </w:r>
            </w:hyperlink>
          </w:p>
        </w:tc>
        <w:tc>
          <w:tcPr>
            <w:tcW w:w="160" w:type="dxa"/>
            <w:vAlign w:val="bottom"/>
            <w:tcBorders>
              <w:top w:val="single" w:sz="8" w:color="0000FF"/>
            </w:tcBorders>
            <w:gridSpan w:val="4"/>
          </w:tcPr>
          <w:p>
            <w:pPr>
              <w:spacing w:after="0"/>
              <w:rPr>
                <w:sz w:val="12"/>
                <w:szCs w:val="12"/>
                <w:color w:val="auto"/>
              </w:rPr>
            </w:pPr>
          </w:p>
        </w:tc>
        <w:tc>
          <w:tcPr>
            <w:tcW w:w="16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10.49†</w:t>
            </w:r>
          </w:p>
        </w:tc>
        <w:tc>
          <w:tcPr>
            <w:tcW w:w="4500" w:type="dxa"/>
            <w:vAlign w:val="bottom"/>
            <w:gridSpan w:val="41"/>
          </w:tcPr>
          <w:p>
            <w:pPr>
              <w:spacing w:after="0"/>
              <w:rPr>
                <w:rFonts w:ascii="Arial" w:cs="Arial" w:eastAsia="Arial" w:hAnsi="Arial"/>
                <w:sz w:val="18"/>
                <w:szCs w:val="18"/>
                <w:color w:val="0000FF"/>
              </w:rPr>
            </w:pPr>
            <w:hyperlink r:id="rId242">
              <w:r>
                <w:rPr>
                  <w:rFonts w:ascii="Arial" w:cs="Arial" w:eastAsia="Arial" w:hAnsi="Arial"/>
                  <w:sz w:val="18"/>
                  <w:szCs w:val="18"/>
                  <w:color w:val="0000FF"/>
                </w:rPr>
                <w:t>Amendment to Offer Letter by and between Sarepta</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2/26/20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Therapeutics, Inc. and William F. Ciambrone</w:t>
              </w:r>
            </w:hyperlink>
          </w:p>
        </w:tc>
        <w:tc>
          <w:tcPr>
            <w:tcW w:w="20" w:type="dxa"/>
            <w:vAlign w:val="bottom"/>
            <w:tcBorders>
              <w:top w:val="single" w:sz="8" w:color="0000FF"/>
              <w:bottom w:val="single" w:sz="8" w:color="0000EE"/>
            </w:tcBorders>
          </w:tcPr>
          <w:p>
            <w:pPr>
              <w:spacing w:after="0"/>
              <w:rPr>
                <w:sz w:val="12"/>
                <w:szCs w:val="12"/>
                <w:color w:val="auto"/>
              </w:rPr>
            </w:pPr>
          </w:p>
        </w:tc>
        <w:tc>
          <w:tcPr>
            <w:tcW w:w="500" w:type="dxa"/>
            <w:vAlign w:val="bottom"/>
            <w:tcBorders>
              <w:top w:val="single" w:sz="8" w:color="0000FF"/>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10.50†</w:t>
            </w:r>
          </w:p>
        </w:tc>
        <w:tc>
          <w:tcPr>
            <w:tcW w:w="4500" w:type="dxa"/>
            <w:vAlign w:val="bottom"/>
            <w:gridSpan w:val="41"/>
          </w:tcPr>
          <w:p>
            <w:pPr>
              <w:spacing w:after="0"/>
              <w:rPr>
                <w:rFonts w:ascii="Arial" w:cs="Arial" w:eastAsia="Arial" w:hAnsi="Arial"/>
                <w:sz w:val="18"/>
                <w:szCs w:val="18"/>
                <w:color w:val="0000FF"/>
                <w:w w:val="98"/>
              </w:rPr>
            </w:pPr>
            <w:hyperlink r:id="rId243">
              <w:r>
                <w:rPr>
                  <w:rFonts w:ascii="Arial" w:cs="Arial" w:eastAsia="Arial" w:hAnsi="Arial"/>
                  <w:sz w:val="18"/>
                  <w:szCs w:val="18"/>
                  <w:color w:val="0000FF"/>
                  <w:w w:val="98"/>
                </w:rPr>
                <w:t>Amendment No. 2 to the Sarepta Therapeutics, Inc. 2014</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60" w:type="dxa"/>
            <w:vAlign w:val="bottom"/>
          </w:tcPr>
          <w:p>
            <w:pPr>
              <w:jc w:val="center"/>
              <w:ind w:right="870"/>
              <w:spacing w:after="0"/>
              <w:rPr>
                <w:sz w:val="20"/>
                <w:szCs w:val="20"/>
                <w:color w:val="auto"/>
              </w:rPr>
            </w:pPr>
            <w:r>
              <w:rPr>
                <w:rFonts w:ascii="Arial" w:cs="Arial" w:eastAsia="Arial" w:hAnsi="Arial"/>
                <w:sz w:val="18"/>
                <w:szCs w:val="18"/>
                <w:color w:val="auto"/>
                <w:w w:val="89"/>
              </w:rPr>
              <w:t>2/21/20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Employment Commencement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900" w:type="dxa"/>
            <w:vAlign w:val="bottom"/>
            <w:tcBorders>
              <w:top w:val="single" w:sz="8" w:color="0000FF"/>
            </w:tcBorders>
            <w:gridSpan w:val="1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120"/>
              <w:spacing w:after="0"/>
              <w:rPr>
                <w:sz w:val="20"/>
                <w:szCs w:val="20"/>
                <w:color w:val="auto"/>
              </w:rPr>
            </w:pPr>
            <w:r>
              <w:rPr>
                <w:rFonts w:ascii="Arial" w:cs="Arial" w:eastAsia="Arial" w:hAnsi="Arial"/>
                <w:sz w:val="18"/>
                <w:szCs w:val="18"/>
                <w:color w:val="auto"/>
              </w:rPr>
              <w:t>10.51†</w:t>
            </w:r>
          </w:p>
        </w:tc>
        <w:tc>
          <w:tcPr>
            <w:tcW w:w="4500" w:type="dxa"/>
            <w:vAlign w:val="bottom"/>
            <w:gridSpan w:val="41"/>
          </w:tcPr>
          <w:p>
            <w:pPr>
              <w:spacing w:after="0"/>
              <w:rPr>
                <w:rFonts w:ascii="Arial" w:cs="Arial" w:eastAsia="Arial" w:hAnsi="Arial"/>
                <w:sz w:val="18"/>
                <w:szCs w:val="18"/>
                <w:color w:val="0000FF"/>
                <w:w w:val="98"/>
              </w:rPr>
            </w:pPr>
            <w:hyperlink r:id="rId244">
              <w:r>
                <w:rPr>
                  <w:rFonts w:ascii="Arial" w:cs="Arial" w:eastAsia="Arial" w:hAnsi="Arial"/>
                  <w:sz w:val="18"/>
                  <w:szCs w:val="18"/>
                  <w:color w:val="0000FF"/>
                  <w:w w:val="98"/>
                </w:rPr>
                <w:t>Amendment No. 1 to the Sarepta Therapeutics, Inc. 2018</w:t>
              </w:r>
            </w:hyperlink>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60" w:type="dxa"/>
            <w:vAlign w:val="bottom"/>
          </w:tcPr>
          <w:p>
            <w:pPr>
              <w:jc w:val="center"/>
              <w:ind w:right="890"/>
              <w:spacing w:after="0"/>
              <w:rPr>
                <w:sz w:val="20"/>
                <w:szCs w:val="20"/>
                <w:color w:val="auto"/>
              </w:rPr>
            </w:pPr>
            <w:r>
              <w:rPr>
                <w:rFonts w:ascii="Arial" w:cs="Arial" w:eastAsia="Arial" w:hAnsi="Arial"/>
                <w:sz w:val="18"/>
                <w:szCs w:val="18"/>
                <w:color w:val="auto"/>
                <w:w w:val="91"/>
              </w:rPr>
              <w:t>6/8/2020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Equity Incentive Plan</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80" w:type="dxa"/>
            <w:vAlign w:val="bottom"/>
            <w:tcBorders>
              <w:right w:val="single" w:sz="8" w:color="0000EE"/>
            </w:tcBorders>
            <w:gridSpan w:val="6"/>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 w:type="dxa"/>
            <w:vAlign w:val="bottom"/>
          </w:tcPr>
          <w:p>
            <w:pPr>
              <w:ind w:left="120"/>
              <w:spacing w:after="0"/>
              <w:rPr>
                <w:sz w:val="20"/>
                <w:szCs w:val="20"/>
                <w:color w:val="auto"/>
              </w:rPr>
            </w:pPr>
            <w:r>
              <w:rPr>
                <w:rFonts w:ascii="Arial" w:cs="Arial" w:eastAsia="Arial" w:hAnsi="Arial"/>
                <w:sz w:val="18"/>
                <w:szCs w:val="18"/>
                <w:color w:val="auto"/>
              </w:rPr>
              <w:t>10.52</w:t>
            </w:r>
          </w:p>
        </w:tc>
        <w:tc>
          <w:tcPr>
            <w:tcW w:w="3840" w:type="dxa"/>
            <w:vAlign w:val="bottom"/>
            <w:tcBorders>
              <w:bottom w:val="single" w:sz="8" w:color="0000FF"/>
            </w:tcBorders>
            <w:gridSpan w:val="20"/>
          </w:tcPr>
          <w:p>
            <w:pPr>
              <w:spacing w:after="0"/>
              <w:rPr>
                <w:rFonts w:ascii="Arial" w:cs="Arial" w:eastAsia="Arial" w:hAnsi="Arial"/>
                <w:sz w:val="18"/>
                <w:szCs w:val="18"/>
                <w:color w:val="0000FF"/>
                <w:w w:val="90"/>
              </w:rPr>
            </w:pPr>
            <w:hyperlink r:id="rId245">
              <w:r>
                <w:rPr>
                  <w:rFonts w:ascii="Arial" w:cs="Arial" w:eastAsia="Arial" w:hAnsi="Arial"/>
                  <w:sz w:val="18"/>
                  <w:szCs w:val="18"/>
                  <w:color w:val="0000FF"/>
                  <w:w w:val="90"/>
                </w:rPr>
                <w:t>First Amendment dated September 24, 2020 to Loan</w:t>
              </w:r>
            </w:hyperlink>
          </w:p>
        </w:tc>
        <w:tc>
          <w:tcPr>
            <w:tcW w:w="660" w:type="dxa"/>
            <w:vAlign w:val="bottom"/>
            <w:gridSpan w:val="21"/>
          </w:tcPr>
          <w:p>
            <w:pPr>
              <w:spacing w:after="0"/>
              <w:rPr>
                <w:sz w:val="24"/>
                <w:szCs w:val="24"/>
                <w:color w:val="auto"/>
              </w:rPr>
            </w:pP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60" w:type="dxa"/>
            <w:vAlign w:val="bottom"/>
          </w:tcPr>
          <w:p>
            <w:pPr>
              <w:jc w:val="center"/>
              <w:ind w:right="890"/>
              <w:spacing w:after="0"/>
              <w:rPr>
                <w:sz w:val="20"/>
                <w:szCs w:val="20"/>
                <w:color w:val="auto"/>
              </w:rPr>
            </w:pPr>
            <w:r>
              <w:rPr>
                <w:rFonts w:ascii="Arial" w:cs="Arial" w:eastAsia="Arial" w:hAnsi="Arial"/>
                <w:sz w:val="18"/>
                <w:szCs w:val="18"/>
                <w:color w:val="auto"/>
                <w:w w:val="89"/>
              </w:rPr>
              <w:t>11/5/2020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00" w:type="dxa"/>
            <w:vAlign w:val="bottom"/>
            <w:gridSpan w:val="41"/>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Agreement among Sarepta Therapeutics, Inc., BioPharma</w:t>
              </w:r>
            </w:hyperlink>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Credit PLC and BioPharma Credit Investments V (Master)</w:t>
              </w:r>
            </w:hyperlink>
          </w:p>
        </w:tc>
        <w:tc>
          <w:tcPr>
            <w:tcW w:w="60" w:type="dxa"/>
            <w:vAlign w:val="bottom"/>
            <w:tcBorders>
              <w:bottom w:val="single" w:sz="8" w:color="0000FF"/>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80" w:type="dxa"/>
            <w:vAlign w:val="bottom"/>
            <w:gridSpan w:val="34"/>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LP dated December 13, 2019</w:t>
              </w:r>
            </w:hyperlink>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120"/>
              <w:spacing w:after="0"/>
              <w:rPr>
                <w:sz w:val="20"/>
                <w:szCs w:val="20"/>
                <w:color w:val="auto"/>
              </w:rPr>
            </w:pPr>
            <w:r>
              <w:rPr>
                <w:rFonts w:ascii="Arial" w:cs="Arial" w:eastAsia="Arial" w:hAnsi="Arial"/>
                <w:sz w:val="18"/>
                <w:szCs w:val="18"/>
                <w:color w:val="auto"/>
              </w:rPr>
              <w:t>10.53†</w:t>
            </w:r>
          </w:p>
        </w:tc>
        <w:tc>
          <w:tcPr>
            <w:tcW w:w="2120" w:type="dxa"/>
            <w:vAlign w:val="bottom"/>
            <w:tcBorders>
              <w:right w:val="single" w:sz="8" w:color="0000EE"/>
            </w:tcBorders>
            <w:gridSpan w:val="7"/>
            <w:shd w:val="clear" w:color="auto" w:fill="0000FF"/>
          </w:tcPr>
          <w:p>
            <w:pPr>
              <w:spacing w:after="0" w:line="20" w:lineRule="exact"/>
              <w:rPr>
                <w:sz w:val="1"/>
                <w:szCs w:val="1"/>
                <w:color w:val="auto"/>
              </w:rPr>
            </w:pPr>
          </w:p>
        </w:tc>
        <w:tc>
          <w:tcPr>
            <w:tcW w:w="1740" w:type="dxa"/>
            <w:vAlign w:val="bottom"/>
            <w:gridSpan w:val="14"/>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10-K</w:t>
            </w: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8"/>
              </w:rPr>
              <w:t>10.59</w:t>
            </w:r>
          </w:p>
        </w:tc>
        <w:tc>
          <w:tcPr>
            <w:tcW w:w="2260" w:type="dxa"/>
            <w:vAlign w:val="bottom"/>
            <w:vMerge w:val="restart"/>
          </w:tcPr>
          <w:p>
            <w:pPr>
              <w:jc w:val="center"/>
              <w:ind w:right="890"/>
              <w:spacing w:after="0"/>
              <w:rPr>
                <w:sz w:val="20"/>
                <w:szCs w:val="20"/>
                <w:color w:val="auto"/>
              </w:rPr>
            </w:pPr>
            <w:r>
              <w:rPr>
                <w:rFonts w:ascii="Arial" w:cs="Arial" w:eastAsia="Arial" w:hAnsi="Arial"/>
                <w:sz w:val="18"/>
                <w:szCs w:val="18"/>
                <w:color w:val="auto"/>
                <w:w w:val="91"/>
              </w:rPr>
              <w:t>3/1/2021</w:t>
            </w:r>
          </w:p>
        </w:tc>
        <w:tc>
          <w:tcPr>
            <w:tcW w:w="0" w:type="dxa"/>
            <w:vAlign w:val="bottom"/>
          </w:tcPr>
          <w:p>
            <w:pPr>
              <w:spacing w:after="0" w:line="20" w:lineRule="exact"/>
              <w:rPr>
                <w:sz w:val="1"/>
                <w:szCs w:val="1"/>
                <w:color w:val="auto"/>
              </w:rPr>
            </w:pPr>
          </w:p>
        </w:tc>
      </w:tr>
      <w:tr>
        <w:trPr>
          <w:trHeight w:val="385"/>
        </w:trPr>
        <w:tc>
          <w:tcPr>
            <w:tcW w:w="920" w:type="dxa"/>
            <w:vAlign w:val="bottom"/>
            <w:vMerge w:val="continue"/>
          </w:tcPr>
          <w:p>
            <w:pPr>
              <w:spacing w:after="0"/>
              <w:rPr>
                <w:sz w:val="24"/>
                <w:szCs w:val="24"/>
                <w:color w:val="auto"/>
              </w:rPr>
            </w:pPr>
          </w:p>
        </w:tc>
        <w:tc>
          <w:tcPr>
            <w:tcW w:w="4500" w:type="dxa"/>
            <w:vAlign w:val="bottom"/>
            <w:gridSpan w:val="41"/>
          </w:tcPr>
          <w:p>
            <w:pPr>
              <w:spacing w:after="0"/>
              <w:rPr>
                <w:rFonts w:ascii="Arial" w:cs="Arial" w:eastAsia="Arial" w:hAnsi="Arial"/>
                <w:sz w:val="18"/>
                <w:szCs w:val="18"/>
                <w:color w:val="0000FF"/>
                <w:w w:val="93"/>
              </w:rPr>
            </w:pPr>
            <w:hyperlink r:id="rId246">
              <w:r>
                <w:rPr>
                  <w:rFonts w:ascii="Arial" w:cs="Arial" w:eastAsia="Arial" w:hAnsi="Arial"/>
                  <w:sz w:val="18"/>
                  <w:szCs w:val="18"/>
                  <w:color w:val="0000FF"/>
                  <w:w w:val="93"/>
                </w:rPr>
                <w:t>Promotion Letter dated December 14, 2020 by and between</w:t>
              </w:r>
            </w:hyperlink>
          </w:p>
        </w:tc>
        <w:tc>
          <w:tcPr>
            <w:tcW w:w="12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3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46">
              <w:r>
                <w:rPr>
                  <w:rFonts w:ascii="Arial" w:cs="Arial" w:eastAsia="Arial" w:hAnsi="Arial"/>
                  <w:sz w:val="18"/>
                  <w:szCs w:val="18"/>
                  <w:color w:val="0000FF"/>
                </w:rPr>
                <w:t>Sarepta Therapeutics, Inc. and Louise Rodino-Klapac</w:t>
              </w:r>
            </w:hyperlink>
          </w:p>
        </w:tc>
        <w:tc>
          <w:tcPr>
            <w:tcW w:w="140" w:type="dxa"/>
            <w:vAlign w:val="bottom"/>
            <w:gridSpan w:val="5"/>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ind w:right="750"/>
              <w:spacing w:after="0"/>
              <w:rPr>
                <w:sz w:val="20"/>
                <w:szCs w:val="20"/>
                <w:color w:val="auto"/>
              </w:rPr>
            </w:pPr>
            <w:r>
              <w:rPr>
                <w:rFonts w:ascii="Arial" w:cs="Arial" w:eastAsia="Arial" w:hAnsi="Arial"/>
                <w:sz w:val="18"/>
                <w:szCs w:val="18"/>
                <w:color w:val="auto"/>
              </w:rPr>
              <w:t>-89-</w:t>
            </w: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jc w:val="center"/>
        <w:ind w:right="700"/>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10.54†    </w:t>
      </w:r>
      <w:hyperlink r:id="rId249">
        <w:r>
          <w:rPr>
            <w:rFonts w:ascii="Arial" w:cs="Arial" w:eastAsia="Arial" w:hAnsi="Arial"/>
            <w:sz w:val="18"/>
            <w:szCs w:val="18"/>
            <w:u w:val="single" w:color="auto"/>
            <w:color w:val="0000FF"/>
          </w:rPr>
          <w:t>Offer Letter dated April 19, 2018 by and between Sarepta</w:t>
        </w:r>
      </w:hyperlink>
      <w:r>
        <w:rPr>
          <w:rFonts w:ascii="Arial" w:cs="Arial" w:eastAsia="Arial" w:hAnsi="Arial"/>
          <w:sz w:val="18"/>
          <w:szCs w:val="18"/>
          <w:color w:val="auto"/>
        </w:rPr>
        <w:t xml:space="preserve"> </w:t>
      </w:r>
      <w:hyperlink r:id="rId249">
        <w:r>
          <w:rPr>
            <w:rFonts w:ascii="Arial" w:cs="Arial" w:eastAsia="Arial" w:hAnsi="Arial"/>
            <w:sz w:val="18"/>
            <w:szCs w:val="18"/>
            <w:u w:val="single" w:color="auto"/>
            <w:color w:val="0000FF"/>
          </w:rPr>
          <w:t>Therapeutics, Inc. and Louise Rodino-Klapac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-139700</wp:posOffset>
            </wp:positionV>
            <wp:extent cx="26657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266573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-27940</wp:posOffset>
            </wp:positionV>
            <wp:extent cx="208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134" w:lineRule="exact"/>
        <w:rPr>
          <w:sz w:val="20"/>
          <w:szCs w:val="20"/>
          <w:color w:val="auto"/>
        </w:rPr>
      </w:pPr>
    </w:p>
    <w:p>
      <w:pPr>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10.55†</w:t>
      </w:r>
      <w:r>
        <w:rPr>
          <w:sz w:val="20"/>
          <w:szCs w:val="20"/>
          <w:color w:val="auto"/>
        </w:rPr>
        <w:tab/>
      </w:r>
      <w:hyperlink r:id="rId252">
        <w:r>
          <w:rPr>
            <w:rFonts w:ascii="Arial" w:cs="Arial" w:eastAsia="Arial" w:hAnsi="Arial"/>
            <w:sz w:val="16"/>
            <w:szCs w:val="16"/>
            <w:u w:val="single" w:color="auto"/>
            <w:color w:val="0000FF"/>
          </w:rPr>
          <w:t>Promotion Letter dated December 14, 2020 by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wp:posOffset>
            </wp:positionV>
            <wp:extent cx="27603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800"/>
        <w:spacing w:after="0"/>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Sarepta Therapeutics, Inc. and Ian M. Estepan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-20320</wp:posOffset>
            </wp:positionV>
            <wp:extent cx="2109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4">
                      <a:extLst>
                        <a:ext uri="{28A0092B-C50C-407E-A947-70E740481C1C}"/>
                      </a:extLst>
                    </a:blip>
                    <a:srcRect/>
                    <a:stretch>
                      <a:fillRect/>
                    </a:stretch>
                  </pic:blipFill>
                  <pic:spPr bwMode="auto">
                    <a:xfrm>
                      <a:off x="0" y="0"/>
                      <a:ext cx="2109470" cy="8255"/>
                    </a:xfrm>
                    <a:prstGeom prst="rect">
                      <a:avLst/>
                    </a:prstGeom>
                    <a:noFill/>
                  </pic:spPr>
                </pic:pic>
              </a:graphicData>
            </a:graphic>
          </wp:anchor>
        </w:drawing>
      </w:r>
    </w:p>
    <w:p>
      <w:pPr>
        <w:spacing w:after="0" w:line="147" w:lineRule="exact"/>
        <w:rPr>
          <w:sz w:val="20"/>
          <w:szCs w:val="20"/>
          <w:color w:val="auto"/>
        </w:rPr>
      </w:pPr>
    </w:p>
    <w:p>
      <w:pPr>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10.56†</w:t>
      </w:r>
      <w:r>
        <w:rPr>
          <w:sz w:val="20"/>
          <w:szCs w:val="20"/>
          <w:color w:val="auto"/>
        </w:rPr>
        <w:tab/>
      </w:r>
      <w:hyperlink r:id="rId255">
        <w:r>
          <w:rPr>
            <w:rFonts w:ascii="Arial" w:cs="Arial" w:eastAsia="Arial" w:hAnsi="Arial"/>
            <w:sz w:val="16"/>
            <w:szCs w:val="16"/>
            <w:u w:val="single" w:color="auto"/>
            <w:color w:val="0000FF"/>
          </w:rPr>
          <w:t>Offer Letter dated by December 18, 2014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wp:posOffset>
            </wp:positionV>
            <wp:extent cx="25228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6">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ind w:left="800"/>
        <w:spacing w:after="0"/>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Sarepta Therapeutics, Inc. and Ian M. Estepan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-20320</wp:posOffset>
            </wp:positionV>
            <wp:extent cx="2109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7">
                      <a:extLst>
                        <a:ext uri="{28A0092B-C50C-407E-A947-70E740481C1C}"/>
                      </a:extLst>
                    </a:blip>
                    <a:srcRect/>
                    <a:stretch>
                      <a:fillRect/>
                    </a:stretch>
                  </pic:blipFill>
                  <pic:spPr bwMode="auto">
                    <a:xfrm>
                      <a:off x="0" y="0"/>
                      <a:ext cx="2109470" cy="8255"/>
                    </a:xfrm>
                    <a:prstGeom prst="rect">
                      <a:avLst/>
                    </a:prstGeom>
                    <a:noFill/>
                  </pic:spPr>
                </pic:pic>
              </a:graphicData>
            </a:graphic>
          </wp:anchor>
        </w:drawing>
      </w:r>
    </w:p>
    <w:p>
      <w:pPr>
        <w:spacing w:after="0" w:line="149" w:lineRule="exact"/>
        <w:rPr>
          <w:sz w:val="20"/>
          <w:szCs w:val="20"/>
          <w:color w:val="auto"/>
        </w:rPr>
      </w:pPr>
    </w:p>
    <w:p>
      <w:pPr>
        <w:ind w:left="800" w:right="720" w:hanging="814"/>
        <w:spacing w:after="0" w:line="239" w:lineRule="auto"/>
        <w:tabs>
          <w:tab w:leader="none" w:pos="780" w:val="left"/>
        </w:tabs>
        <w:rPr>
          <w:rFonts w:ascii="Arial" w:cs="Arial" w:eastAsia="Arial" w:hAnsi="Arial"/>
          <w:sz w:val="16"/>
          <w:szCs w:val="16"/>
          <w:color w:val="0000FF"/>
          <w:highlight w:val="white"/>
        </w:rPr>
      </w:pPr>
      <w:r>
        <w:rPr>
          <w:rFonts w:ascii="Arial" w:cs="Arial" w:eastAsia="Arial" w:hAnsi="Arial"/>
          <w:sz w:val="18"/>
          <w:szCs w:val="18"/>
          <w:color w:val="auto"/>
        </w:rPr>
        <w:t>10.57</w:t>
      </w:r>
      <w:r>
        <w:rPr>
          <w:sz w:val="20"/>
          <w:szCs w:val="20"/>
          <w:color w:val="auto"/>
        </w:rPr>
        <w:tab/>
      </w:r>
      <w:hyperlink r:id="rId258">
        <w:r>
          <w:rPr>
            <w:rFonts w:ascii="Arial" w:cs="Arial" w:eastAsia="Arial" w:hAnsi="Arial"/>
            <w:sz w:val="16"/>
            <w:szCs w:val="16"/>
            <w:color w:val="0000FF"/>
          </w:rPr>
          <w:t>Amendment no. 1 dated October 23, 2020 to the Licens</w:t>
        </w:r>
        <w:r>
          <w:rPr>
            <w:rFonts w:ascii="Arial" w:cs="Arial" w:eastAsia="Arial" w:hAnsi="Arial"/>
            <w:sz w:val="16"/>
            <w:szCs w:val="16"/>
            <w:u w:val="single" w:color="auto"/>
            <w:color w:val="0000FF"/>
          </w:rPr>
          <w:t>e,</w:t>
        </w:r>
      </w:hyperlink>
      <w:r>
        <w:rPr>
          <w:rFonts w:ascii="Arial" w:cs="Arial" w:eastAsia="Arial" w:hAnsi="Arial"/>
          <w:sz w:val="16"/>
          <w:szCs w:val="16"/>
          <w:color w:val="0000FF"/>
        </w:rPr>
        <w:t xml:space="preserve"> </w:t>
      </w:r>
      <w:hyperlink r:id="rId258">
        <w:r>
          <w:rPr>
            <w:rFonts w:ascii="Arial" w:cs="Arial" w:eastAsia="Arial" w:hAnsi="Arial"/>
            <w:sz w:val="16"/>
            <w:szCs w:val="16"/>
            <w:color w:val="0000FF"/>
            <w:highlight w:val="white"/>
          </w:rPr>
          <w:t>Collaboration, and Option Agreement between Sarepta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-102870</wp:posOffset>
            </wp:positionV>
            <wp:extent cx="1117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7620</wp:posOffset>
            </wp:positionV>
            <wp:extent cx="285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800" w:right="380"/>
        <w:spacing w:after="0" w:line="226" w:lineRule="auto"/>
        <w:rPr>
          <w:rFonts w:ascii="Arial" w:cs="Arial" w:eastAsia="Arial" w:hAnsi="Arial"/>
          <w:sz w:val="18"/>
          <w:szCs w:val="18"/>
          <w:u w:val="single" w:color="auto"/>
          <w:color w:val="0000FF"/>
          <w:highlight w:val="white"/>
        </w:rPr>
      </w:pPr>
      <w:hyperlink r:id="rId258">
        <w:r>
          <w:rPr>
            <w:rFonts w:ascii="Arial" w:cs="Arial" w:eastAsia="Arial" w:hAnsi="Arial"/>
            <w:sz w:val="18"/>
            <w:szCs w:val="18"/>
            <w:color w:val="0000FF"/>
            <w:highlight w:val="white"/>
          </w:rPr>
          <w:t>Therapeutics Three, LLC and F. Hoffman-La Roche Ltd dated</w:t>
        </w:r>
      </w:hyperlink>
      <w:r>
        <w:rPr>
          <w:rFonts w:ascii="Arial" w:cs="Arial" w:eastAsia="Arial" w:hAnsi="Arial"/>
          <w:sz w:val="18"/>
          <w:szCs w:val="18"/>
          <w:color w:val="0000FF"/>
          <w:highlight w:val="white"/>
        </w:rPr>
        <w:t xml:space="preserve"> </w:t>
      </w:r>
      <w:hyperlink r:id="rId258">
        <w:r>
          <w:rPr>
            <w:rFonts w:ascii="Arial" w:cs="Arial" w:eastAsia="Arial" w:hAnsi="Arial"/>
            <w:sz w:val="18"/>
            <w:szCs w:val="18"/>
            <w:u w:val="single" w:color="auto"/>
            <w:color w:val="0000FF"/>
            <w:highlight w:val="white"/>
          </w:rPr>
          <w:t>December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-136525</wp:posOffset>
            </wp:positionV>
            <wp:extent cx="19456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1">
                      <a:extLst>
                        <a:ext uri="{28A0092B-C50C-407E-A947-70E740481C1C}"/>
                      </a:extLst>
                    </a:blip>
                    <a:srcRect/>
                    <a:stretch>
                      <a:fillRect/>
                    </a:stretch>
                  </pic:blipFill>
                  <pic:spPr bwMode="auto">
                    <a:xfrm>
                      <a:off x="0" y="0"/>
                      <a:ext cx="194564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-24765</wp:posOffset>
            </wp:positionV>
            <wp:extent cx="897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2">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139" w:lineRule="exact"/>
        <w:rPr>
          <w:sz w:val="20"/>
          <w:szCs w:val="20"/>
          <w:color w:val="auto"/>
        </w:rPr>
      </w:pPr>
    </w:p>
    <w:p>
      <w:pPr>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10.58</w:t>
      </w:r>
      <w:r>
        <w:rPr>
          <w:sz w:val="20"/>
          <w:szCs w:val="20"/>
          <w:color w:val="auto"/>
        </w:rPr>
        <w:tab/>
      </w:r>
      <w:hyperlink r:id="rId263">
        <w:r>
          <w:rPr>
            <w:rFonts w:ascii="Arial" w:cs="Arial" w:eastAsia="Arial" w:hAnsi="Arial"/>
            <w:sz w:val="16"/>
            <w:szCs w:val="16"/>
            <w:u w:val="single" w:color="auto"/>
            <w:color w:val="0000FF"/>
          </w:rPr>
          <w:t xml:space="preserve">Amendment </w:t>
        </w:r>
        <w:r>
          <w:rPr>
            <w:rFonts w:ascii="Arial" w:cs="Arial" w:eastAsia="Arial" w:hAnsi="Arial"/>
            <w:sz w:val="16"/>
            <w:szCs w:val="16"/>
            <w:u w:val="single" w:color="auto"/>
            <w:color w:val="0000FF"/>
            <w:highlight w:val="white"/>
          </w:rPr>
          <w:t>no.</w:t>
        </w:r>
        <w:r>
          <w:rPr>
            <w:rFonts w:ascii="Arial" w:cs="Arial" w:eastAsia="Arial" w:hAnsi="Arial"/>
            <w:sz w:val="16"/>
            <w:szCs w:val="16"/>
            <w:u w:val="single" w:color="auto"/>
            <w:color w:val="0000FF"/>
          </w:rPr>
          <w:t xml:space="preserve"> 2 dated October 28, 2020 to the License,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wp:posOffset>
            </wp:positionV>
            <wp:extent cx="26492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4">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ind w:left="800" w:right="760"/>
        <w:spacing w:after="0" w:line="218" w:lineRule="auto"/>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Collaboration, and Option Agreement between Sarepta</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Therapeutics Three, LLC and F. Hoffman-La Roche Ltd,</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dated December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-247015</wp:posOffset>
            </wp:positionV>
            <wp:extent cx="25412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5">
                      <a:extLst>
                        <a:ext uri="{28A0092B-C50C-407E-A947-70E740481C1C}"/>
                      </a:extLst>
                    </a:blip>
                    <a:srcRect/>
                    <a:stretch>
                      <a:fillRect/>
                    </a:stretch>
                  </pic:blipFill>
                  <pic:spPr bwMode="auto">
                    <a:xfrm>
                      <a:off x="0" y="0"/>
                      <a:ext cx="254127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-135890</wp:posOffset>
            </wp:positionV>
            <wp:extent cx="26250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6">
                      <a:extLst>
                        <a:ext uri="{28A0092B-C50C-407E-A947-70E740481C1C}"/>
                      </a:extLst>
                    </a:blip>
                    <a:srcRect/>
                    <a:stretch>
                      <a:fillRect/>
                    </a:stretch>
                  </pic:blipFill>
                  <pic:spPr bwMode="auto">
                    <a:xfrm>
                      <a:off x="0" y="0"/>
                      <a:ext cx="26250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-24130</wp:posOffset>
            </wp:positionV>
            <wp:extent cx="11734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7">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10.59</w:t>
      </w:r>
      <w:r>
        <w:rPr>
          <w:sz w:val="20"/>
          <w:szCs w:val="20"/>
          <w:color w:val="auto"/>
        </w:rPr>
        <w:tab/>
      </w:r>
      <w:hyperlink r:id="rId268">
        <w:r>
          <w:rPr>
            <w:rFonts w:ascii="Arial" w:cs="Arial" w:eastAsia="Arial" w:hAnsi="Arial"/>
            <w:sz w:val="16"/>
            <w:szCs w:val="16"/>
            <w:u w:val="single" w:color="auto"/>
            <w:color w:val="0000FF"/>
          </w:rPr>
          <w:t>Amendment no. 3 dated February 4, 2021 to the License,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-635</wp:posOffset>
            </wp:positionV>
            <wp:extent cx="26365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9">
                      <a:extLst>
                        <a:ext uri="{28A0092B-C50C-407E-A947-70E740481C1C}"/>
                      </a:extLst>
                    </a:blip>
                    <a:srcRect/>
                    <a:stretch>
                      <a:fillRect/>
                    </a:stretch>
                  </pic:blipFill>
                  <pic:spPr bwMode="auto">
                    <a:xfrm>
                      <a:off x="0" y="0"/>
                      <a:ext cx="2636520" cy="8890"/>
                    </a:xfrm>
                    <a:prstGeom prst="rect">
                      <a:avLst/>
                    </a:prstGeom>
                    <a:noFill/>
                  </pic:spPr>
                </pic:pic>
              </a:graphicData>
            </a:graphic>
          </wp:anchor>
        </w:drawing>
      </w:r>
    </w:p>
    <w:p>
      <w:pPr>
        <w:ind w:left="800" w:right="760"/>
        <w:spacing w:after="0" w:line="218" w:lineRule="auto"/>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Collaboration, and Option Agreement between Sarepta</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Therapeutics Three, LLC and F. Hoffman-La Roche Ltd,</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dated December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-247015</wp:posOffset>
            </wp:positionV>
            <wp:extent cx="25412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0">
                      <a:extLst>
                        <a:ext uri="{28A0092B-C50C-407E-A947-70E740481C1C}"/>
                      </a:extLst>
                    </a:blip>
                    <a:srcRect/>
                    <a:stretch>
                      <a:fillRect/>
                    </a:stretch>
                  </pic:blipFill>
                  <pic:spPr bwMode="auto">
                    <a:xfrm>
                      <a:off x="0" y="0"/>
                      <a:ext cx="254127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-135890</wp:posOffset>
            </wp:positionV>
            <wp:extent cx="26250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1">
                      <a:extLst>
                        <a:ext uri="{28A0092B-C50C-407E-A947-70E740481C1C}"/>
                      </a:extLst>
                    </a:blip>
                    <a:srcRect/>
                    <a:stretch>
                      <a:fillRect/>
                    </a:stretch>
                  </pic:blipFill>
                  <pic:spPr bwMode="auto">
                    <a:xfrm>
                      <a:off x="0" y="0"/>
                      <a:ext cx="26250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-24130</wp:posOffset>
            </wp:positionV>
            <wp:extent cx="11734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2">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spacing w:after="0"/>
        <w:tabs>
          <w:tab w:leader="none" w:pos="780" w:val="left"/>
        </w:tabs>
        <w:rPr>
          <w:rFonts w:ascii="Arial" w:cs="Arial" w:eastAsia="Arial" w:hAnsi="Arial"/>
          <w:sz w:val="16"/>
          <w:szCs w:val="16"/>
          <w:color w:val="0000FF"/>
        </w:rPr>
      </w:pPr>
      <w:r>
        <w:rPr>
          <w:rFonts w:ascii="Arial" w:cs="Arial" w:eastAsia="Arial" w:hAnsi="Arial"/>
          <w:sz w:val="18"/>
          <w:szCs w:val="18"/>
          <w:color w:val="auto"/>
        </w:rPr>
        <w:t>10.60</w:t>
      </w:r>
      <w:r>
        <w:rPr>
          <w:sz w:val="20"/>
          <w:szCs w:val="20"/>
          <w:color w:val="auto"/>
        </w:rPr>
        <w:tab/>
      </w:r>
      <w:hyperlink r:id="rId273">
        <w:r>
          <w:rPr>
            <w:rFonts w:ascii="Arial" w:cs="Arial" w:eastAsia="Arial" w:hAnsi="Arial"/>
            <w:sz w:val="16"/>
            <w:szCs w:val="16"/>
            <w:color w:val="0000FF"/>
          </w:rPr>
          <w:t>Amendment no. 4 dated June 23, 2021 to the License,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2973705</wp:posOffset>
            </wp:positionH>
            <wp:positionV relativeFrom="paragraph">
              <wp:posOffset>-635</wp:posOffset>
            </wp:positionV>
            <wp:extent cx="285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800" w:right="760"/>
        <w:spacing w:after="0" w:line="218" w:lineRule="auto"/>
        <w:rPr>
          <w:rFonts w:ascii="Arial" w:cs="Arial" w:eastAsia="Arial" w:hAnsi="Arial"/>
          <w:sz w:val="18"/>
          <w:szCs w:val="18"/>
          <w:u w:val="single" w:color="auto"/>
          <w:color w:val="0000FF"/>
          <w:highlight w:val="white"/>
        </w:rPr>
      </w:pPr>
      <w:hyperlink r:id="rId273">
        <w:r>
          <w:rPr>
            <w:rFonts w:ascii="Arial" w:cs="Arial" w:eastAsia="Arial" w:hAnsi="Arial"/>
            <w:sz w:val="18"/>
            <w:szCs w:val="18"/>
            <w:color w:val="0000FF"/>
            <w:highlight w:val="white"/>
          </w:rPr>
          <w:t>Collaboration, and Option Agreement between Sarepta</w:t>
        </w:r>
      </w:hyperlink>
      <w:r>
        <w:rPr>
          <w:rFonts w:ascii="Arial" w:cs="Arial" w:eastAsia="Arial" w:hAnsi="Arial"/>
          <w:sz w:val="18"/>
          <w:szCs w:val="18"/>
          <w:color w:val="0000FF"/>
          <w:highlight w:val="white"/>
        </w:rPr>
        <w:t xml:space="preserve"> </w:t>
      </w:r>
      <w:hyperlink r:id="rId273">
        <w:r>
          <w:rPr>
            <w:rFonts w:ascii="Arial" w:cs="Arial" w:eastAsia="Arial" w:hAnsi="Arial"/>
            <w:sz w:val="18"/>
            <w:szCs w:val="18"/>
            <w:color w:val="0000FF"/>
            <w:highlight w:val="white"/>
          </w:rPr>
          <w:t xml:space="preserve">Therapeutics Three, LLC </w:t>
        </w:r>
        <w:r>
          <w:rPr>
            <w:rFonts w:ascii="Arial" w:cs="Arial" w:eastAsia="Arial" w:hAnsi="Arial"/>
            <w:sz w:val="18"/>
            <w:szCs w:val="18"/>
            <w:u w:val="single" w:color="auto"/>
            <w:color w:val="0000FF"/>
            <w:highlight w:val="white"/>
          </w:rPr>
          <w:t>and F. Hoffman-La Roche Ltd,</w:t>
        </w:r>
      </w:hyperlink>
      <w:r>
        <w:rPr>
          <w:rFonts w:ascii="Arial" w:cs="Arial" w:eastAsia="Arial" w:hAnsi="Arial"/>
          <w:sz w:val="18"/>
          <w:szCs w:val="18"/>
          <w:color w:val="0000FF"/>
          <w:highlight w:val="white"/>
        </w:rPr>
        <w:t xml:space="preserve"> </w:t>
      </w:r>
      <w:hyperlink r:id="rId273">
        <w:r>
          <w:rPr>
            <w:rFonts w:ascii="Arial" w:cs="Arial" w:eastAsia="Arial" w:hAnsi="Arial"/>
            <w:sz w:val="18"/>
            <w:szCs w:val="18"/>
            <w:u w:val="single" w:color="auto"/>
            <w:color w:val="0000FF"/>
            <w:highlight w:val="white"/>
          </w:rPr>
          <w:t>dated December 21, 2019</w:t>
        </w:r>
      </w:hyperlink>
    </w:p>
    <w:p>
      <w:pPr>
        <w:spacing w:after="0" w:line="20" w:lineRule="exact"/>
        <w:rPr>
          <w:rFonts w:ascii="Arial" w:cs="Arial" w:eastAsia="Arial" w:hAnsi="Arial"/>
          <w:sz w:val="18"/>
          <w:szCs w:val="18"/>
          <w:color w:val="0000FF"/>
          <w:highlight w:val="white"/>
        </w:rPr>
      </w:pPr>
      <w:r>
        <w:rPr>
          <w:rFonts w:ascii="Arial" w:cs="Arial" w:eastAsia="Arial" w:hAnsi="Arial"/>
          <w:sz w:val="18"/>
          <w:szCs w:val="18"/>
          <w:color w:val="0000FF"/>
          <w:highlight w:val="white"/>
        </w:rPr>
        <w:drawing>
          <wp:anchor simplePos="0" relativeHeight="251657728" behindDoc="1" locked="0" layoutInCell="0" allowOverlap="1">
            <wp:simplePos x="0" y="0"/>
            <wp:positionH relativeFrom="column">
              <wp:posOffset>3024505</wp:posOffset>
            </wp:positionH>
            <wp:positionV relativeFrom="paragraph">
              <wp:posOffset>-247015</wp:posOffset>
            </wp:positionV>
            <wp:extent cx="28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-135890</wp:posOffset>
            </wp:positionV>
            <wp:extent cx="14509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1450975"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-24130</wp:posOffset>
            </wp:positionV>
            <wp:extent cx="12020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42" w:lineRule="exact"/>
        <w:rPr>
          <w:rFonts w:ascii="Arial" w:cs="Arial" w:eastAsia="Arial" w:hAnsi="Arial"/>
          <w:sz w:val="18"/>
          <w:szCs w:val="18"/>
          <w:color w:val="0000FF"/>
          <w:highlight w:val="white"/>
        </w:rPr>
      </w:pPr>
    </w:p>
    <w:p>
      <w:pPr>
        <w:ind w:left="800" w:right="780" w:hanging="814"/>
        <w:spacing w:after="0" w:line="239" w:lineRule="auto"/>
        <w:tabs>
          <w:tab w:leader="none" w:pos="780" w:val="left"/>
        </w:tabs>
        <w:rPr>
          <w:rFonts w:ascii="Arial" w:cs="Arial" w:eastAsia="Arial" w:hAnsi="Arial"/>
          <w:sz w:val="16"/>
          <w:szCs w:val="16"/>
          <w:color w:val="0000FF"/>
          <w:highlight w:val="white"/>
        </w:rPr>
      </w:pPr>
      <w:r>
        <w:rPr>
          <w:rFonts w:ascii="Arial" w:cs="Arial" w:eastAsia="Arial" w:hAnsi="Arial"/>
          <w:sz w:val="18"/>
          <w:szCs w:val="18"/>
          <w:color w:val="auto"/>
        </w:rPr>
        <w:t>10.61</w:t>
      </w:r>
      <w:r>
        <w:rPr>
          <w:sz w:val="20"/>
          <w:szCs w:val="20"/>
          <w:color w:val="auto"/>
        </w:rPr>
        <w:tab/>
      </w:r>
      <w:hyperlink r:id="rId278">
        <w:r>
          <w:rPr>
            <w:rFonts w:ascii="Arial" w:cs="Arial" w:eastAsia="Arial" w:hAnsi="Arial"/>
            <w:sz w:val="16"/>
            <w:szCs w:val="16"/>
            <w:color w:val="0000FF"/>
          </w:rPr>
          <w:t>Amendment no. 5 dated August 31, 2021 to the License</w:t>
        </w:r>
        <w:r>
          <w:rPr>
            <w:rFonts w:ascii="Arial" w:cs="Arial" w:eastAsia="Arial" w:hAnsi="Arial"/>
            <w:sz w:val="16"/>
            <w:szCs w:val="16"/>
            <w:u w:val="single" w:color="auto"/>
            <w:color w:val="0000FF"/>
          </w:rPr>
          <w:t>,</w:t>
        </w:r>
      </w:hyperlink>
      <w:r>
        <w:rPr>
          <w:rFonts w:ascii="Arial" w:cs="Arial" w:eastAsia="Arial" w:hAnsi="Arial"/>
          <w:sz w:val="16"/>
          <w:szCs w:val="16"/>
          <w:color w:val="0000FF"/>
        </w:rPr>
        <w:t xml:space="preserve"> </w:t>
      </w:r>
      <w:hyperlink r:id="rId278">
        <w:r>
          <w:rPr>
            <w:rFonts w:ascii="Arial" w:cs="Arial" w:eastAsia="Arial" w:hAnsi="Arial"/>
            <w:sz w:val="16"/>
            <w:szCs w:val="16"/>
            <w:color w:val="0000FF"/>
            <w:highlight w:val="white"/>
          </w:rPr>
          <w:t>Collaboration, and Option Agreement between Sarepta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-102870</wp:posOffset>
            </wp:positionV>
            <wp:extent cx="736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7620</wp:posOffset>
            </wp:positionV>
            <wp:extent cx="2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800" w:right="760"/>
        <w:spacing w:after="0" w:line="226" w:lineRule="auto"/>
        <w:rPr>
          <w:rFonts w:ascii="Arial" w:cs="Arial" w:eastAsia="Arial" w:hAnsi="Arial"/>
          <w:sz w:val="18"/>
          <w:szCs w:val="18"/>
          <w:u w:val="single" w:color="auto"/>
          <w:color w:val="0000FF"/>
          <w:highlight w:val="white"/>
        </w:rPr>
      </w:pPr>
      <w:hyperlink r:id="rId278">
        <w:r>
          <w:rPr>
            <w:rFonts w:ascii="Arial" w:cs="Arial" w:eastAsia="Arial" w:hAnsi="Arial"/>
            <w:sz w:val="18"/>
            <w:szCs w:val="18"/>
            <w:color w:val="0000FF"/>
            <w:highlight w:val="white"/>
          </w:rPr>
          <w:t xml:space="preserve">Therapeutics Three, LLC </w:t>
        </w:r>
        <w:r>
          <w:rPr>
            <w:rFonts w:ascii="Arial" w:cs="Arial" w:eastAsia="Arial" w:hAnsi="Arial"/>
            <w:sz w:val="18"/>
            <w:szCs w:val="18"/>
            <w:u w:val="single" w:color="auto"/>
            <w:color w:val="0000FF"/>
            <w:highlight w:val="white"/>
          </w:rPr>
          <w:t>and F. Hoffman-La Roche Ltd,</w:t>
        </w:r>
      </w:hyperlink>
      <w:r>
        <w:rPr>
          <w:rFonts w:ascii="Arial" w:cs="Arial" w:eastAsia="Arial" w:hAnsi="Arial"/>
          <w:sz w:val="18"/>
          <w:szCs w:val="18"/>
          <w:color w:val="0000FF"/>
          <w:highlight w:val="white"/>
        </w:rPr>
        <w:t xml:space="preserve"> </w:t>
      </w:r>
      <w:hyperlink r:id="rId278">
        <w:r>
          <w:rPr>
            <w:rFonts w:ascii="Arial" w:cs="Arial" w:eastAsia="Arial" w:hAnsi="Arial"/>
            <w:sz w:val="18"/>
            <w:szCs w:val="18"/>
            <w:u w:val="single" w:color="auto"/>
            <w:color w:val="0000FF"/>
            <w:highlight w:val="white"/>
          </w:rPr>
          <w:t>dated December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-136525</wp:posOffset>
            </wp:positionV>
            <wp:extent cx="14249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1">
                      <a:extLst>
                        <a:ext uri="{28A0092B-C50C-407E-A947-70E740481C1C}"/>
                      </a:extLst>
                    </a:blip>
                    <a:srcRect/>
                    <a:stretch>
                      <a:fillRect/>
                    </a:stretch>
                  </pic:blipFill>
                  <pic:spPr bwMode="auto">
                    <a:xfrm>
                      <a:off x="0" y="0"/>
                      <a:ext cx="142494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-24765</wp:posOffset>
            </wp:positionV>
            <wp:extent cx="12020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2">
                      <a:extLst>
                        <a:ext uri="{28A0092B-C50C-407E-A947-70E740481C1C}"/>
                      </a:extLst>
                    </a:blip>
                    <a:srcRect/>
                    <a:stretch>
                      <a:fillRect/>
                    </a:stretch>
                  </pic:blipFill>
                  <pic:spPr bwMode="auto">
                    <a:xfrm>
                      <a:off x="0" y="0"/>
                      <a:ext cx="1202055" cy="8890"/>
                    </a:xfrm>
                    <a:prstGeom prst="rect">
                      <a:avLst/>
                    </a:prstGeom>
                    <a:noFill/>
                  </pic:spPr>
                </pic:pic>
              </a:graphicData>
            </a:graphic>
          </wp:anchor>
        </w:drawing>
      </w:r>
    </w:p>
    <w:p>
      <w:pPr>
        <w:spacing w:after="0" w:line="141" w:lineRule="exact"/>
        <w:rPr>
          <w:sz w:val="20"/>
          <w:szCs w:val="20"/>
          <w:color w:val="auto"/>
        </w:rPr>
      </w:pPr>
    </w:p>
    <w:p>
      <w:pPr>
        <w:ind w:left="800" w:right="540" w:hanging="814"/>
        <w:spacing w:after="0" w:line="20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w:anchor="page131">
        <w:r>
          <w:rPr>
            <w:rFonts w:ascii="Arial" w:cs="Arial" w:eastAsia="Arial" w:hAnsi="Arial"/>
            <w:sz w:val="18"/>
            <w:szCs w:val="18"/>
            <w:u w:val="single" w:color="auto"/>
            <w:color w:val="0000FF"/>
          </w:rPr>
          <w:t>Amendment no. 6 dated November 30, 2021 to the License,</w:t>
        </w:r>
      </w:hyperlink>
      <w:r>
        <w:rPr>
          <w:rFonts w:ascii="Arial" w:cs="Arial" w:eastAsia="Arial" w:hAnsi="Arial"/>
          <w:sz w:val="18"/>
          <w:szCs w:val="18"/>
          <w:u w:val="single" w:color="auto"/>
          <w:color w:val="0000FF"/>
        </w:rPr>
        <w:t xml:space="preserve"> </w:t>
      </w:r>
      <w:hyperlink w:anchor="page131">
        <w:r>
          <w:rPr>
            <w:rFonts w:ascii="Arial" w:cs="Arial" w:eastAsia="Arial" w:hAnsi="Arial"/>
            <w:sz w:val="18"/>
            <w:szCs w:val="18"/>
            <w:u w:val="single" w:color="auto"/>
            <w:color w:val="0000FF"/>
          </w:rPr>
          <w:t>Collaboration, and Option Agreement between Sarepta</w:t>
        </w:r>
      </w:hyperlink>
      <w:r>
        <w:rPr>
          <w:rFonts w:ascii="Arial" w:cs="Arial" w:eastAsia="Arial" w:hAnsi="Arial"/>
          <w:sz w:val="18"/>
          <w:szCs w:val="18"/>
          <w:u w:val="single" w:color="auto"/>
          <w:color w:val="0000FF"/>
        </w:rPr>
        <w:t xml:space="preserve"> </w:t>
      </w:r>
      <w:hyperlink w:anchor="page131">
        <w:r>
          <w:rPr>
            <w:rFonts w:ascii="Arial" w:cs="Arial" w:eastAsia="Arial" w:hAnsi="Arial"/>
            <w:sz w:val="18"/>
            <w:szCs w:val="18"/>
            <w:u w:val="single" w:color="auto"/>
            <w:color w:val="0000FF"/>
          </w:rPr>
          <w:t>Therapeutics Three, LLC and F. Hoffman-La Roche Ltd,</w:t>
        </w:r>
      </w:hyperlink>
      <w:r>
        <w:rPr>
          <w:rFonts w:ascii="Arial" w:cs="Arial" w:eastAsia="Arial" w:hAnsi="Arial"/>
          <w:sz w:val="18"/>
          <w:szCs w:val="18"/>
          <w:u w:val="single" w:color="auto"/>
          <w:color w:val="0000FF"/>
        </w:rPr>
        <w:t xml:space="preserve"> </w:t>
      </w:r>
      <w:hyperlink w:anchor="page131">
        <w:r>
          <w:rPr>
            <w:rFonts w:ascii="Arial" w:cs="Arial" w:eastAsia="Arial" w:hAnsi="Arial"/>
            <w:sz w:val="18"/>
            <w:szCs w:val="18"/>
            <w:u w:val="single" w:color="auto"/>
            <w:color w:val="0000FF"/>
          </w:rPr>
          <w:t>dated December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-332105</wp:posOffset>
            </wp:positionV>
            <wp:extent cx="27635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3">
                      <a:extLst>
                        <a:ext uri="{28A0092B-C50C-407E-A947-70E740481C1C}"/>
                      </a:extLst>
                    </a:blip>
                    <a:srcRect/>
                    <a:stretch>
                      <a:fillRect/>
                    </a:stretch>
                  </pic:blipFill>
                  <pic:spPr bwMode="auto">
                    <a:xfrm>
                      <a:off x="0" y="0"/>
                      <a:ext cx="276352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-229235</wp:posOffset>
            </wp:positionV>
            <wp:extent cx="25412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4">
                      <a:extLst>
                        <a:ext uri="{28A0092B-C50C-407E-A947-70E740481C1C}"/>
                      </a:extLst>
                    </a:blip>
                    <a:srcRect/>
                    <a:stretch>
                      <a:fillRect/>
                    </a:stretch>
                  </pic:blipFill>
                  <pic:spPr bwMode="auto">
                    <a:xfrm>
                      <a:off x="0" y="0"/>
                      <a:ext cx="254127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-126365</wp:posOffset>
            </wp:positionV>
            <wp:extent cx="26250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5">
                      <a:extLst>
                        <a:ext uri="{28A0092B-C50C-407E-A947-70E740481C1C}"/>
                      </a:extLst>
                    </a:blip>
                    <a:srcRect/>
                    <a:stretch>
                      <a:fillRect/>
                    </a:stretch>
                  </pic:blipFill>
                  <pic:spPr bwMode="auto">
                    <a:xfrm>
                      <a:off x="0" y="0"/>
                      <a:ext cx="262509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-23495</wp:posOffset>
            </wp:positionV>
            <wp:extent cx="12020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6">
                      <a:extLst>
                        <a:ext uri="{28A0092B-C50C-407E-A947-70E740481C1C}"/>
                      </a:extLst>
                    </a:blip>
                    <a:srcRect/>
                    <a:stretch>
                      <a:fillRect/>
                    </a:stretch>
                  </pic:blipFill>
                  <pic:spPr bwMode="auto">
                    <a:xfrm>
                      <a:off x="0" y="0"/>
                      <a:ext cx="1202055" cy="8890"/>
                    </a:xfrm>
                    <a:prstGeom prst="rect">
                      <a:avLst/>
                    </a:prstGeom>
                    <a:noFill/>
                  </pic:spPr>
                </pic:pic>
              </a:graphicData>
            </a:graphic>
          </wp:anchor>
        </w:drawing>
      </w:r>
    </w:p>
    <w:p>
      <w:pPr>
        <w:spacing w:after="0" w:line="130" w:lineRule="exact"/>
        <w:rPr>
          <w:rFonts w:ascii="Arial" w:cs="Arial" w:eastAsia="Arial" w:hAnsi="Arial"/>
          <w:sz w:val="18"/>
          <w:szCs w:val="18"/>
          <w:u w:val="single" w:color="auto"/>
          <w:color w:val="0000FF"/>
        </w:rPr>
      </w:pPr>
    </w:p>
    <w:p>
      <w:pPr>
        <w:ind w:left="800" w:right="760" w:hanging="814"/>
        <w:spacing w:after="0" w:line="20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w:anchor="page135">
        <w:r>
          <w:rPr>
            <w:rFonts w:ascii="Arial" w:cs="Arial" w:eastAsia="Arial" w:hAnsi="Arial"/>
            <w:sz w:val="18"/>
            <w:szCs w:val="18"/>
            <w:u w:val="single" w:color="auto"/>
            <w:color w:val="0000FF"/>
          </w:rPr>
          <w:t>Amendment no. 7 dated January 5, 2022 to the License,</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Collaboration, and Option Agreement between Sarepta</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Therapeutics Three, LLC and F. Hoffman-La Roche Ltd,</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dated December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-332105</wp:posOffset>
            </wp:positionV>
            <wp:extent cx="25793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7">
                      <a:extLst>
                        <a:ext uri="{28A0092B-C50C-407E-A947-70E740481C1C}"/>
                      </a:extLst>
                    </a:blip>
                    <a:srcRect/>
                    <a:stretch>
                      <a:fillRect/>
                    </a:stretch>
                  </pic:blipFill>
                  <pic:spPr bwMode="auto">
                    <a:xfrm>
                      <a:off x="0" y="0"/>
                      <a:ext cx="257937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-229235</wp:posOffset>
            </wp:positionV>
            <wp:extent cx="25412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8">
                      <a:extLst>
                        <a:ext uri="{28A0092B-C50C-407E-A947-70E740481C1C}"/>
                      </a:extLst>
                    </a:blip>
                    <a:srcRect/>
                    <a:stretch>
                      <a:fillRect/>
                    </a:stretch>
                  </pic:blipFill>
                  <pic:spPr bwMode="auto">
                    <a:xfrm>
                      <a:off x="0" y="0"/>
                      <a:ext cx="254127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-126365</wp:posOffset>
            </wp:positionV>
            <wp:extent cx="26250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9">
                      <a:extLst>
                        <a:ext uri="{28A0092B-C50C-407E-A947-70E740481C1C}"/>
                      </a:extLst>
                    </a:blip>
                    <a:srcRect/>
                    <a:stretch>
                      <a:fillRect/>
                    </a:stretch>
                  </pic:blipFill>
                  <pic:spPr bwMode="auto">
                    <a:xfrm>
                      <a:off x="0" y="0"/>
                      <a:ext cx="262509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-23495</wp:posOffset>
            </wp:positionV>
            <wp:extent cx="11734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30" w:lineRule="exact"/>
        <w:rPr>
          <w:rFonts w:ascii="Arial" w:cs="Arial" w:eastAsia="Arial" w:hAnsi="Arial"/>
          <w:sz w:val="18"/>
          <w:szCs w:val="18"/>
          <w:u w:val="single" w:color="auto"/>
          <w:color w:val="0000FF"/>
        </w:rPr>
      </w:pPr>
    </w:p>
    <w:p>
      <w:pPr>
        <w:ind w:left="800" w:right="740" w:hanging="814"/>
        <w:spacing w:after="0" w:line="20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w:anchor="page138">
        <w:r>
          <w:rPr>
            <w:rFonts w:ascii="Arial" w:cs="Arial" w:eastAsia="Arial" w:hAnsi="Arial"/>
            <w:sz w:val="18"/>
            <w:szCs w:val="18"/>
            <w:u w:val="single" w:color="auto"/>
            <w:color w:val="0000FF"/>
          </w:rPr>
          <w:t>Amendment no. 8 dated January 28, 2022 to the License,</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Collaboration, and Option Agreement between Sarepta</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Therapeutics Three, LLC and F. Hoffman-La Roche Ltd,</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dated December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-332105</wp:posOffset>
            </wp:positionV>
            <wp:extent cx="26365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1">
                      <a:extLst>
                        <a:ext uri="{28A0092B-C50C-407E-A947-70E740481C1C}"/>
                      </a:extLst>
                    </a:blip>
                    <a:srcRect/>
                    <a:stretch>
                      <a:fillRect/>
                    </a:stretch>
                  </pic:blipFill>
                  <pic:spPr bwMode="auto">
                    <a:xfrm>
                      <a:off x="0" y="0"/>
                      <a:ext cx="263652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-229235</wp:posOffset>
            </wp:positionV>
            <wp:extent cx="25412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2">
                      <a:extLst>
                        <a:ext uri="{28A0092B-C50C-407E-A947-70E740481C1C}"/>
                      </a:extLst>
                    </a:blip>
                    <a:srcRect/>
                    <a:stretch>
                      <a:fillRect/>
                    </a:stretch>
                  </pic:blipFill>
                  <pic:spPr bwMode="auto">
                    <a:xfrm>
                      <a:off x="0" y="0"/>
                      <a:ext cx="254127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-126365</wp:posOffset>
            </wp:positionV>
            <wp:extent cx="26250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3">
                      <a:extLst>
                        <a:ext uri="{28A0092B-C50C-407E-A947-70E740481C1C}"/>
                      </a:extLst>
                    </a:blip>
                    <a:srcRect/>
                    <a:stretch>
                      <a:fillRect/>
                    </a:stretch>
                  </pic:blipFill>
                  <pic:spPr bwMode="auto">
                    <a:xfrm>
                      <a:off x="0" y="0"/>
                      <a:ext cx="262509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-23495</wp:posOffset>
            </wp:positionV>
            <wp:extent cx="12020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30" w:lineRule="exact"/>
        <w:rPr>
          <w:rFonts w:ascii="Arial" w:cs="Arial" w:eastAsia="Arial" w:hAnsi="Arial"/>
          <w:sz w:val="18"/>
          <w:szCs w:val="18"/>
          <w:u w:val="single" w:color="auto"/>
          <w:color w:val="0000FF"/>
        </w:rPr>
      </w:pPr>
    </w:p>
    <w:p>
      <w:pPr>
        <w:ind w:left="800" w:right="540" w:hanging="814"/>
        <w:spacing w:after="0" w:line="21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w:anchor="page141">
        <w:r>
          <w:rPr>
            <w:rFonts w:ascii="Arial" w:cs="Arial" w:eastAsia="Arial" w:hAnsi="Arial"/>
            <w:sz w:val="18"/>
            <w:szCs w:val="18"/>
            <w:u w:val="single" w:color="auto"/>
            <w:color w:val="0000FF"/>
          </w:rPr>
          <w:t>Separation Agreement and General Release, signed</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November 15, 2021 between Sarepta Therapeutics, Inc. and</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Dr. Gilmore O'Neill</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511810</wp:posOffset>
            </wp:positionH>
            <wp:positionV relativeFrom="paragraph">
              <wp:posOffset>-230505</wp:posOffset>
            </wp:positionV>
            <wp:extent cx="23761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5">
                      <a:extLst>
                        <a:ext uri="{28A0092B-C50C-407E-A947-70E740481C1C}"/>
                      </a:extLst>
                    </a:blip>
                    <a:srcRect/>
                    <a:stretch>
                      <a:fillRect/>
                    </a:stretch>
                  </pic:blipFill>
                  <pic:spPr bwMode="auto">
                    <a:xfrm>
                      <a:off x="0" y="0"/>
                      <a:ext cx="237617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-127635</wp:posOffset>
            </wp:positionV>
            <wp:extent cx="27635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6">
                      <a:extLst>
                        <a:ext uri="{28A0092B-C50C-407E-A947-70E740481C1C}"/>
                      </a:extLst>
                    </a:blip>
                    <a:srcRect/>
                    <a:stretch>
                      <a:fillRect/>
                    </a:stretch>
                  </pic:blipFill>
                  <pic:spPr bwMode="auto">
                    <a:xfrm>
                      <a:off x="0" y="0"/>
                      <a:ext cx="276352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-24765</wp:posOffset>
            </wp:positionV>
            <wp:extent cx="911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7">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36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10.60</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3/1/2021</w:t>
            </w:r>
          </w:p>
        </w:tc>
      </w:tr>
      <w:tr>
        <w:trPr>
          <w:trHeight w:val="581"/>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10.61</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3/1/2021</w:t>
            </w:r>
          </w:p>
        </w:tc>
      </w:tr>
      <w:tr>
        <w:trPr>
          <w:trHeight w:val="58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10.62</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3/1/2021</w:t>
            </w:r>
          </w:p>
        </w:tc>
      </w:tr>
      <w:tr>
        <w:trPr>
          <w:trHeight w:val="581"/>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8/4/2021</w:t>
            </w:r>
          </w:p>
        </w:tc>
      </w:tr>
      <w:tr>
        <w:trPr>
          <w:trHeight w:val="931"/>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8/4/2021</w:t>
            </w:r>
          </w:p>
        </w:tc>
      </w:tr>
      <w:tr>
        <w:trPr>
          <w:trHeight w:val="932"/>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8/4/2021</w:t>
            </w:r>
          </w:p>
        </w:tc>
      </w:tr>
      <w:tr>
        <w:trPr>
          <w:trHeight w:val="932"/>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8/4/2021</w:t>
            </w:r>
          </w:p>
        </w:tc>
      </w:tr>
      <w:tr>
        <w:trPr>
          <w:trHeight w:val="932"/>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001-14895</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11/3/2021</w:t>
            </w: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9" w:lineRule="exact"/>
        <w:rPr>
          <w:rFonts w:ascii="Arial" w:cs="Arial" w:eastAsia="Arial" w:hAnsi="Arial"/>
          <w:sz w:val="18"/>
          <w:szCs w:val="18"/>
          <w:u w:val="single" w:color="auto"/>
          <w:color w:val="0000FF"/>
        </w:rPr>
      </w:pPr>
    </w:p>
    <w:p>
      <w:pPr>
        <w:spacing w:after="0"/>
        <w:rPr>
          <w:rFonts w:ascii="Arial" w:cs="Arial" w:eastAsia="Arial" w:hAnsi="Arial"/>
          <w:sz w:val="17"/>
          <w:szCs w:val="17"/>
          <w:color w:val="auto"/>
        </w:rPr>
      </w:pPr>
      <w:hyperlink w:anchor="page131">
        <w:r>
          <w:rPr>
            <w:rFonts w:ascii="Arial" w:cs="Arial" w:eastAsia="Arial" w:hAnsi="Arial"/>
            <w:sz w:val="17"/>
            <w:szCs w:val="17"/>
            <w:color w:val="auto"/>
          </w:rPr>
          <w:t>X</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-3175</wp:posOffset>
            </wp:positionV>
            <wp:extent cx="825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9">
                      <a:extLst>
                        <a:ext uri="{28A0092B-C50C-407E-A947-70E740481C1C}"/>
                      </a:extLst>
                    </a:blip>
                    <a:srcRect/>
                    <a:stretch>
                      <a:fillRect/>
                    </a:stretch>
                  </pic:blipFill>
                  <pic:spPr bwMode="auto">
                    <a:xfrm>
                      <a:off x="0" y="0"/>
                      <a:ext cx="8255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spacing w:after="0"/>
        <w:rPr>
          <w:rFonts w:ascii="Arial" w:cs="Arial" w:eastAsia="Arial" w:hAnsi="Arial"/>
          <w:sz w:val="17"/>
          <w:szCs w:val="17"/>
          <w:color w:val="auto"/>
        </w:rPr>
      </w:pPr>
      <w:hyperlink w:anchor="page135">
        <w:r>
          <w:rPr>
            <w:rFonts w:ascii="Arial" w:cs="Arial" w:eastAsia="Arial" w:hAnsi="Arial"/>
            <w:sz w:val="17"/>
            <w:szCs w:val="17"/>
            <w:color w:val="auto"/>
          </w:rPr>
          <w:t>X</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-3175</wp:posOffset>
            </wp:positionV>
            <wp:extent cx="825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0">
                      <a:extLst>
                        <a:ext uri="{28A0092B-C50C-407E-A947-70E740481C1C}"/>
                      </a:extLst>
                    </a:blip>
                    <a:srcRect/>
                    <a:stretch>
                      <a:fillRect/>
                    </a:stretch>
                  </pic:blipFill>
                  <pic:spPr bwMode="auto">
                    <a:xfrm>
                      <a:off x="0" y="0"/>
                      <a:ext cx="8255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spacing w:after="0"/>
        <w:rPr>
          <w:rFonts w:ascii="Arial" w:cs="Arial" w:eastAsia="Arial" w:hAnsi="Arial"/>
          <w:sz w:val="17"/>
          <w:szCs w:val="17"/>
          <w:color w:val="auto"/>
        </w:rPr>
      </w:pPr>
      <w:hyperlink w:anchor="page138">
        <w:r>
          <w:rPr>
            <w:rFonts w:ascii="Arial" w:cs="Arial" w:eastAsia="Arial" w:hAnsi="Arial"/>
            <w:sz w:val="17"/>
            <w:szCs w:val="17"/>
            <w:color w:val="auto"/>
          </w:rPr>
          <w:t>X</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-3175</wp:posOffset>
            </wp:positionV>
            <wp:extent cx="825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1">
                      <a:extLst>
                        <a:ext uri="{28A0092B-C50C-407E-A947-70E740481C1C}"/>
                      </a:extLst>
                    </a:blip>
                    <a:srcRect/>
                    <a:stretch>
                      <a:fillRect/>
                    </a:stretch>
                  </pic:blipFill>
                  <pic:spPr bwMode="auto">
                    <a:xfrm>
                      <a:off x="0" y="0"/>
                      <a:ext cx="8255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spacing w:after="0"/>
        <w:rPr>
          <w:rFonts w:ascii="Arial" w:cs="Arial" w:eastAsia="Arial" w:hAnsi="Arial"/>
          <w:sz w:val="17"/>
          <w:szCs w:val="17"/>
          <w:color w:val="auto"/>
        </w:rPr>
      </w:pPr>
      <w:hyperlink w:anchor="page141">
        <w:r>
          <w:rPr>
            <w:rFonts w:ascii="Arial" w:cs="Arial" w:eastAsia="Arial" w:hAnsi="Arial"/>
            <w:sz w:val="17"/>
            <w:szCs w:val="17"/>
            <w:color w:val="auto"/>
          </w:rPr>
          <w:t>X</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-3175</wp:posOffset>
            </wp:positionV>
            <wp:extent cx="825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2">
                      <a:extLst>
                        <a:ext uri="{28A0092B-C50C-407E-A947-70E740481C1C}"/>
                      </a:extLst>
                    </a:blip>
                    <a:srcRect/>
                    <a:stretch>
                      <a:fillRect/>
                    </a:stretch>
                  </pic:blipFill>
                  <pic:spPr bwMode="auto">
                    <a:xfrm>
                      <a:off x="0" y="0"/>
                      <a:ext cx="82550" cy="8890"/>
                    </a:xfrm>
                    <a:prstGeom prst="rect">
                      <a:avLst/>
                    </a:prstGeom>
                    <a:noFill/>
                  </pic:spPr>
                </pic:pic>
              </a:graphicData>
            </a:graphic>
          </wp:anchor>
        </w:drawing>
      </w:r>
    </w:p>
    <w:p>
      <w:pPr>
        <w:sectPr>
          <w:pgSz w:w="11900" w:h="16838" w:orient="portrait"/>
          <w:cols w:equalWidth="0" w:num="3">
            <w:col w:w="5660" w:space="140"/>
            <w:col w:w="4060" w:space="700"/>
            <w:col w:w="120"/>
          </w:cols>
          <w:pgMar w:left="440" w:top="517" w:right="779" w:bottom="1440" w:gutter="0" w:footer="0" w:header="0"/>
        </w:sectPr>
      </w:pPr>
    </w:p>
    <w:bookmarkStart w:id="91" w:name="page92"/>
    <w:bookmarkEnd w:id="91"/>
    <w:tbl>
      <w:tblPr>
        <w:tblLayout w:type="fixed"/>
        <w:tblInd w:w="1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10.66^</w:t>
            </w:r>
          </w:p>
        </w:tc>
        <w:tc>
          <w:tcPr>
            <w:tcW w:w="9760" w:type="dxa"/>
            <w:vAlign w:val="bottom"/>
            <w:gridSpan w:val="16"/>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Amendment No. 2, dated November 17, 2021 to License</w:t>
              </w:r>
            </w:hyperlink>
          </w:p>
        </w:tc>
        <w:tc>
          <w:tcPr>
            <w:tcW w:w="120" w:type="dxa"/>
            <w:vAlign w:val="bottom"/>
          </w:tcPr>
          <w:p>
            <w:pPr>
              <w:spacing w:after="0"/>
              <w:rPr>
                <w:rFonts w:ascii="Arial" w:cs="Arial" w:eastAsia="Arial" w:hAnsi="Arial"/>
                <w:sz w:val="18"/>
                <w:szCs w:val="18"/>
                <w:color w:val="auto"/>
                <w:w w:val="82"/>
              </w:rPr>
            </w:pPr>
            <w:hyperlink w:anchor="page152">
              <w:r>
                <w:rPr>
                  <w:rFonts w:ascii="Arial" w:cs="Arial" w:eastAsia="Arial" w:hAnsi="Arial"/>
                  <w:sz w:val="18"/>
                  <w:szCs w:val="18"/>
                  <w:color w:val="auto"/>
                  <w:w w:val="82"/>
                </w:rPr>
                <w:t>X</w:t>
              </w:r>
            </w:hyperlink>
          </w:p>
        </w:tc>
      </w:tr>
      <w:tr>
        <w:trPr>
          <w:trHeight w:val="142"/>
        </w:trPr>
        <w:tc>
          <w:tcPr>
            <w:tcW w:w="80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152">
              <w:r>
                <w:rPr>
                  <w:rFonts w:ascii="Arial" w:cs="Arial" w:eastAsia="Arial" w:hAnsi="Arial"/>
                  <w:sz w:val="16"/>
                  <w:szCs w:val="16"/>
                  <w:color w:val="0000FF"/>
                </w:rPr>
                <w:t>Agreement between Sarepta Therapeutics, Inc. and ST</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r>
      <w:tr>
        <w:trPr>
          <w:trHeight w:val="135"/>
        </w:trPr>
        <w:tc>
          <w:tcPr>
            <w:tcW w:w="800" w:type="dxa"/>
            <w:vAlign w:val="bottom"/>
          </w:tcPr>
          <w:p>
            <w:pPr>
              <w:spacing w:after="0"/>
              <w:rPr>
                <w:sz w:val="11"/>
                <w:szCs w:val="11"/>
                <w:color w:val="auto"/>
              </w:rPr>
            </w:pPr>
          </w:p>
        </w:tc>
        <w:tc>
          <w:tcPr>
            <w:tcW w:w="3980" w:type="dxa"/>
            <w:vAlign w:val="bottom"/>
            <w:tcBorders>
              <w:top w:val="single" w:sz="8" w:color="0000FF"/>
            </w:tcBorders>
            <w:gridSpan w:val="8"/>
          </w:tcPr>
          <w:p>
            <w:pPr>
              <w:spacing w:after="0" w:line="129" w:lineRule="exact"/>
              <w:rPr>
                <w:rFonts w:ascii="Arial" w:cs="Arial" w:eastAsia="Arial" w:hAnsi="Arial"/>
                <w:sz w:val="13"/>
                <w:szCs w:val="13"/>
                <w:color w:val="0000FF"/>
              </w:rPr>
            </w:pPr>
            <w:hyperlink w:anchor="page152">
              <w:r>
                <w:rPr>
                  <w:rFonts w:ascii="Arial" w:cs="Arial" w:eastAsia="Arial" w:hAnsi="Arial"/>
                  <w:sz w:val="13"/>
                  <w:szCs w:val="13"/>
                  <w:color w:val="0000FF"/>
                </w:rPr>
                <w:t>International Holdings Two, Inc. on the one hand and</w:t>
              </w:r>
            </w:hyperlink>
          </w:p>
        </w:tc>
        <w:tc>
          <w:tcPr>
            <w:tcW w:w="2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3900" w:type="dxa"/>
            <w:vAlign w:val="bottom"/>
            <w:tcBorders>
              <w:top w:val="single" w:sz="8" w:color="0000FF"/>
            </w:tcBorders>
            <w:gridSpan w:val="7"/>
          </w:tcPr>
          <w:p>
            <w:pPr>
              <w:spacing w:after="0" w:line="149" w:lineRule="exact"/>
              <w:rPr>
                <w:rFonts w:ascii="Arial" w:cs="Arial" w:eastAsia="Arial" w:hAnsi="Arial"/>
                <w:sz w:val="17"/>
                <w:szCs w:val="17"/>
                <w:color w:val="0000FF"/>
              </w:rPr>
            </w:pPr>
            <w:hyperlink w:anchor="page152">
              <w:r>
                <w:rPr>
                  <w:rFonts w:ascii="Arial" w:cs="Arial" w:eastAsia="Arial" w:hAnsi="Arial"/>
                  <w:sz w:val="17"/>
                  <w:szCs w:val="17"/>
                  <w:color w:val="0000FF"/>
                </w:rPr>
                <w:t>BioMarin Leiden Holding BV, BioMarin Nederlands</w:t>
              </w:r>
            </w:hyperlink>
          </w:p>
        </w:tc>
        <w:tc>
          <w:tcPr>
            <w:tcW w:w="5860" w:type="dxa"/>
            <w:vAlign w:val="bottom"/>
            <w:gridSpan w:val="9"/>
          </w:tcPr>
          <w:p>
            <w:pPr>
              <w:spacing w:after="0" w:line="149" w:lineRule="exact"/>
              <w:rPr>
                <w:rFonts w:ascii="Arial" w:cs="Arial" w:eastAsia="Arial" w:hAnsi="Arial"/>
                <w:sz w:val="17"/>
                <w:szCs w:val="17"/>
                <w:color w:val="0000FF"/>
              </w:rPr>
            </w:pPr>
            <w:hyperlink w:anchor="page152">
              <w:r>
                <w:rPr>
                  <w:rFonts w:ascii="Arial" w:cs="Arial" w:eastAsia="Arial" w:hAnsi="Arial"/>
                  <w:sz w:val="17"/>
                  <w:szCs w:val="17"/>
                  <w:color w:val="0000FF"/>
                </w:rPr>
                <w:t>BV and</w:t>
              </w:r>
            </w:hyperlink>
          </w:p>
        </w:tc>
        <w:tc>
          <w:tcPr>
            <w:tcW w:w="1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4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152">
              <w:r>
                <w:rPr>
                  <w:rFonts w:ascii="Arial" w:cs="Arial" w:eastAsia="Arial" w:hAnsi="Arial"/>
                  <w:sz w:val="16"/>
                  <w:szCs w:val="16"/>
                  <w:color w:val="0000FF"/>
                </w:rPr>
                <w:t>BioMarin Technologies BV on the other hand</w:t>
              </w:r>
            </w:hyperlink>
          </w:p>
        </w:tc>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58"/>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21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59">
              <w:r>
                <w:rPr>
                  <w:rFonts w:ascii="Arial" w:cs="Arial" w:eastAsia="Arial" w:hAnsi="Arial"/>
                  <w:sz w:val="18"/>
                  <w:szCs w:val="18"/>
                  <w:color w:val="0000FF"/>
                  <w:w w:val="89"/>
                </w:rPr>
                <w:t>Subsidiaries of the Registrant.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100" w:type="dxa"/>
            <w:vAlign w:val="bottom"/>
            <w:tcBorders>
              <w:top w:val="single" w:sz="8" w:color="0000FF"/>
            </w:tcBorders>
            <w:gridSpan w:val="2"/>
          </w:tcPr>
          <w:p>
            <w:pPr>
              <w:spacing w:after="0"/>
              <w:rPr>
                <w:sz w:val="24"/>
                <w:szCs w:val="24"/>
                <w:color w:val="auto"/>
              </w:rPr>
            </w:pPr>
          </w:p>
        </w:tc>
        <w:tc>
          <w:tcPr>
            <w:tcW w:w="6460" w:type="dxa"/>
            <w:vAlign w:val="bottom"/>
            <w:gridSpan w:val="11"/>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9760" w:type="dxa"/>
            <w:vAlign w:val="bottom"/>
            <w:gridSpan w:val="16"/>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Consent of Independent Registered Public Accounting Firm.</w:t>
              </w:r>
            </w:hyperlink>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4360" w:type="dxa"/>
            <w:vAlign w:val="bottom"/>
            <w:tcBorders>
              <w:top w:val="single" w:sz="8" w:color="0000FF"/>
            </w:tcBorders>
            <w:gridSpan w:val="12"/>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Power of Attorney (contained on signature page).</w:t>
              </w:r>
            </w:hyperlink>
          </w:p>
        </w:tc>
        <w:tc>
          <w:tcPr>
            <w:tcW w:w="5400" w:type="dxa"/>
            <w:vAlign w:val="bottom"/>
            <w:gridSpan w:val="4"/>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20"/>
        </w:trPr>
        <w:tc>
          <w:tcPr>
            <w:tcW w:w="8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9760" w:type="dxa"/>
            <w:vAlign w:val="bottom"/>
            <w:gridSpan w:val="16"/>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Certification of the Company’s President and Chief Executive</w:t>
              </w:r>
            </w:hyperlink>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142"/>
        </w:trPr>
        <w:tc>
          <w:tcPr>
            <w:tcW w:w="800" w:type="dxa"/>
            <w:vAlign w:val="bottom"/>
          </w:tcPr>
          <w:p>
            <w:pPr>
              <w:spacing w:after="0"/>
              <w:rPr>
                <w:sz w:val="12"/>
                <w:szCs w:val="12"/>
                <w:color w:val="auto"/>
              </w:rPr>
            </w:pPr>
          </w:p>
        </w:tc>
        <w:tc>
          <w:tcPr>
            <w:tcW w:w="44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61">
              <w:r>
                <w:rPr>
                  <w:rFonts w:ascii="Arial" w:cs="Arial" w:eastAsia="Arial" w:hAnsi="Arial"/>
                  <w:sz w:val="16"/>
                  <w:szCs w:val="16"/>
                  <w:color w:val="0000FF"/>
                </w:rPr>
                <w:t>Officer, Douglas S. Ingram, pursuant to Section 302 of the</w:t>
              </w:r>
            </w:hyperlink>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2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161">
              <w:r>
                <w:rPr>
                  <w:rFonts w:ascii="Arial" w:cs="Arial" w:eastAsia="Arial" w:hAnsi="Arial"/>
                  <w:sz w:val="16"/>
                  <w:szCs w:val="16"/>
                  <w:color w:val="0000FF"/>
                </w:rPr>
                <w:t>Sarbanes-Oxley Act of 2002.</w:t>
              </w:r>
            </w:hyperlink>
          </w:p>
        </w:tc>
        <w:tc>
          <w:tcPr>
            <w:tcW w:w="180" w:type="dxa"/>
            <w:vAlign w:val="bottom"/>
            <w:gridSpan w:val="2"/>
          </w:tcPr>
          <w:p>
            <w:pPr>
              <w:spacing w:after="0"/>
              <w:rPr>
                <w:sz w:val="12"/>
                <w:szCs w:val="12"/>
                <w:color w:val="auto"/>
              </w:rPr>
            </w:pPr>
          </w:p>
        </w:tc>
        <w:tc>
          <w:tcPr>
            <w:tcW w:w="53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9760" w:type="dxa"/>
            <w:vAlign w:val="bottom"/>
            <w:gridSpan w:val="16"/>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Certification of the Company’s Executive Vice President,</w:t>
              </w:r>
            </w:hyperlink>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148"/>
        </w:trPr>
        <w:tc>
          <w:tcPr>
            <w:tcW w:w="80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0"/>
          </w:tcPr>
          <w:p>
            <w:pPr>
              <w:spacing w:after="0" w:line="149" w:lineRule="exact"/>
              <w:rPr>
                <w:rFonts w:ascii="Arial" w:cs="Arial" w:eastAsia="Arial" w:hAnsi="Arial"/>
                <w:sz w:val="17"/>
                <w:szCs w:val="17"/>
                <w:color w:val="0000FF"/>
                <w:w w:val="98"/>
              </w:rPr>
            </w:pPr>
            <w:hyperlink w:anchor="page162">
              <w:r>
                <w:rPr>
                  <w:rFonts w:ascii="Arial" w:cs="Arial" w:eastAsia="Arial" w:hAnsi="Arial"/>
                  <w:sz w:val="17"/>
                  <w:szCs w:val="17"/>
                  <w:color w:val="0000FF"/>
                  <w:w w:val="98"/>
                </w:rPr>
                <w:t>Chief Financial Officer, Ian Estepan, pursuant to Section</w:t>
              </w:r>
            </w:hyperlink>
          </w:p>
        </w:tc>
        <w:tc>
          <w:tcPr>
            <w:tcW w:w="260" w:type="dxa"/>
            <w:vAlign w:val="bottom"/>
            <w:tcBorders>
              <w:bottom w:val="single" w:sz="8" w:color="0000FF"/>
            </w:tcBorders>
            <w:gridSpan w:val="3"/>
          </w:tcPr>
          <w:p>
            <w:pPr>
              <w:jc w:val="right"/>
              <w:ind w:right="40"/>
              <w:spacing w:after="0" w:line="149" w:lineRule="exact"/>
              <w:rPr>
                <w:rFonts w:ascii="Arial" w:cs="Arial" w:eastAsia="Arial" w:hAnsi="Arial"/>
                <w:sz w:val="17"/>
                <w:szCs w:val="17"/>
                <w:color w:val="0000FF"/>
                <w:w w:val="70"/>
              </w:rPr>
            </w:pPr>
            <w:hyperlink w:anchor="page162">
              <w:r>
                <w:rPr>
                  <w:rFonts w:ascii="Arial" w:cs="Arial" w:eastAsia="Arial" w:hAnsi="Arial"/>
                  <w:sz w:val="17"/>
                  <w:szCs w:val="17"/>
                  <w:color w:val="0000FF"/>
                  <w:w w:val="70"/>
                </w:rPr>
                <w:t>302</w:t>
              </w:r>
            </w:hyperlink>
          </w:p>
        </w:tc>
        <w:tc>
          <w:tcPr>
            <w:tcW w:w="53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440" w:type="dxa"/>
            <w:vAlign w:val="bottom"/>
            <w:gridSpan w:val="13"/>
          </w:tcPr>
          <w:p>
            <w:pPr>
              <w:spacing w:after="0" w:line="142" w:lineRule="exact"/>
              <w:rPr>
                <w:rFonts w:ascii="Arial" w:cs="Arial" w:eastAsia="Arial" w:hAnsi="Arial"/>
                <w:sz w:val="16"/>
                <w:szCs w:val="16"/>
                <w:color w:val="0000FF"/>
              </w:rPr>
            </w:pPr>
            <w:hyperlink w:anchor="page162">
              <w:r>
                <w:rPr>
                  <w:rFonts w:ascii="Arial" w:cs="Arial" w:eastAsia="Arial" w:hAnsi="Arial"/>
                  <w:sz w:val="16"/>
                  <w:szCs w:val="16"/>
                  <w:color w:val="0000FF"/>
                </w:rPr>
                <w:t>of the Sarbanes-Oxley Act of 2002.</w:t>
              </w:r>
            </w:hyperlink>
          </w:p>
        </w:tc>
        <w:tc>
          <w:tcPr>
            <w:tcW w:w="53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9760" w:type="dxa"/>
            <w:vAlign w:val="bottom"/>
            <w:gridSpan w:val="16"/>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Certification of the Company’s President and Chief Executive</w:t>
              </w:r>
            </w:hyperlink>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142"/>
        </w:trPr>
        <w:tc>
          <w:tcPr>
            <w:tcW w:w="800" w:type="dxa"/>
            <w:vAlign w:val="bottom"/>
          </w:tcPr>
          <w:p>
            <w:pPr>
              <w:spacing w:after="0"/>
              <w:rPr>
                <w:sz w:val="12"/>
                <w:szCs w:val="12"/>
                <w:color w:val="auto"/>
              </w:rPr>
            </w:pPr>
          </w:p>
        </w:tc>
        <w:tc>
          <w:tcPr>
            <w:tcW w:w="44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63">
              <w:r>
                <w:rPr>
                  <w:rFonts w:ascii="Arial" w:cs="Arial" w:eastAsia="Arial" w:hAnsi="Arial"/>
                  <w:sz w:val="16"/>
                  <w:szCs w:val="16"/>
                  <w:color w:val="0000FF"/>
                </w:rPr>
                <w:t>Officer, Douglas S. Ingram, pursuant to Section 906 of the</w:t>
              </w:r>
            </w:hyperlink>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2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163">
              <w:r>
                <w:rPr>
                  <w:rFonts w:ascii="Arial" w:cs="Arial" w:eastAsia="Arial" w:hAnsi="Arial"/>
                  <w:sz w:val="16"/>
                  <w:szCs w:val="16"/>
                  <w:color w:val="0000FF"/>
                </w:rPr>
                <w:t>Sarbanes-Oxley Act of 2002.</w:t>
              </w:r>
            </w:hyperlink>
          </w:p>
        </w:tc>
        <w:tc>
          <w:tcPr>
            <w:tcW w:w="550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9760" w:type="dxa"/>
            <w:vAlign w:val="bottom"/>
            <w:gridSpan w:val="16"/>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Certification of the Company’s Executive Vice President,</w:t>
              </w:r>
            </w:hyperlink>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149"/>
        </w:trPr>
        <w:tc>
          <w:tcPr>
            <w:tcW w:w="800" w:type="dxa"/>
            <w:vAlign w:val="bottom"/>
          </w:tcPr>
          <w:p>
            <w:pPr>
              <w:spacing w:after="0"/>
              <w:rPr>
                <w:sz w:val="12"/>
                <w:szCs w:val="12"/>
                <w:color w:val="auto"/>
              </w:rPr>
            </w:pPr>
          </w:p>
        </w:tc>
        <w:tc>
          <w:tcPr>
            <w:tcW w:w="4180" w:type="dxa"/>
            <w:vAlign w:val="bottom"/>
            <w:tcBorders>
              <w:top w:val="single" w:sz="8" w:color="0000FF"/>
            </w:tcBorders>
            <w:gridSpan w:val="10"/>
          </w:tcPr>
          <w:p>
            <w:pPr>
              <w:spacing w:after="0" w:line="149" w:lineRule="exact"/>
              <w:rPr>
                <w:rFonts w:ascii="Arial" w:cs="Arial" w:eastAsia="Arial" w:hAnsi="Arial"/>
                <w:sz w:val="17"/>
                <w:szCs w:val="17"/>
                <w:color w:val="0000FF"/>
                <w:w w:val="98"/>
              </w:rPr>
            </w:pPr>
            <w:hyperlink w:anchor="page164">
              <w:r>
                <w:rPr>
                  <w:rFonts w:ascii="Arial" w:cs="Arial" w:eastAsia="Arial" w:hAnsi="Arial"/>
                  <w:sz w:val="17"/>
                  <w:szCs w:val="17"/>
                  <w:color w:val="0000FF"/>
                  <w:w w:val="98"/>
                </w:rPr>
                <w:t>Chief Financial Officer, Ian Estepan, pursuant to Section</w:t>
              </w:r>
            </w:hyperlink>
          </w:p>
        </w:tc>
        <w:tc>
          <w:tcPr>
            <w:tcW w:w="5580" w:type="dxa"/>
            <w:vAlign w:val="bottom"/>
            <w:gridSpan w:val="6"/>
          </w:tcPr>
          <w:p>
            <w:pPr>
              <w:jc w:val="right"/>
              <w:ind w:right="5360"/>
              <w:spacing w:after="0" w:line="149" w:lineRule="exact"/>
              <w:rPr>
                <w:rFonts w:ascii="Arial" w:cs="Arial" w:eastAsia="Arial" w:hAnsi="Arial"/>
                <w:sz w:val="17"/>
                <w:szCs w:val="17"/>
                <w:color w:val="0000FF"/>
                <w:w w:val="70"/>
              </w:rPr>
            </w:pPr>
            <w:hyperlink w:anchor="page164">
              <w:r>
                <w:rPr>
                  <w:rFonts w:ascii="Arial" w:cs="Arial" w:eastAsia="Arial" w:hAnsi="Arial"/>
                  <w:sz w:val="17"/>
                  <w:szCs w:val="17"/>
                  <w:color w:val="0000FF"/>
                  <w:w w:val="70"/>
                </w:rPr>
                <w:t>906</w:t>
              </w:r>
            </w:hyperlink>
          </w:p>
        </w:tc>
        <w:tc>
          <w:tcPr>
            <w:tcW w:w="1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4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164">
              <w:r>
                <w:rPr>
                  <w:rFonts w:ascii="Arial" w:cs="Arial" w:eastAsia="Arial" w:hAnsi="Arial"/>
                  <w:sz w:val="16"/>
                  <w:szCs w:val="16"/>
                  <w:color w:val="0000FF"/>
                </w:rPr>
                <w:t>of the Sarbanes-Oxley Act of 2002.</w:t>
              </w:r>
            </w:hyperlink>
          </w:p>
        </w:tc>
        <w:tc>
          <w:tcPr>
            <w:tcW w:w="53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gridSpan w:val="16"/>
          </w:tcPr>
          <w:p>
            <w:pPr>
              <w:spacing w:after="0"/>
              <w:rPr>
                <w:sz w:val="20"/>
                <w:szCs w:val="20"/>
                <w:color w:val="auto"/>
              </w:rPr>
            </w:pPr>
            <w:r>
              <w:rPr>
                <w:rFonts w:ascii="Arial" w:cs="Arial" w:eastAsia="Arial" w:hAnsi="Arial"/>
                <w:sz w:val="18"/>
                <w:szCs w:val="18"/>
                <w:color w:val="auto"/>
              </w:rPr>
              <w:t>The following financial statements from the Annual Report</w:t>
            </w:r>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on Form 10-K of Sarepta Therapeutics, Inc. for the year</w:t>
            </w:r>
          </w:p>
        </w:tc>
        <w:tc>
          <w:tcPr>
            <w:tcW w:w="1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ended December 31, 2021, formatted in Inline XBRL: (i)</w:t>
            </w:r>
          </w:p>
        </w:tc>
        <w:tc>
          <w:tcPr>
            <w:tcW w:w="1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Consolidated Balance Sheets; (ii) Consolidated Statements of</w:t>
            </w:r>
          </w:p>
        </w:tc>
        <w:tc>
          <w:tcPr>
            <w:tcW w:w="1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Operations and Comprehensive Loss; (iii) Consolidated</w:t>
            </w:r>
          </w:p>
        </w:tc>
        <w:tc>
          <w:tcPr>
            <w:tcW w:w="1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Statements of Stockholders’ Equity; (iv) Consolidated</w:t>
            </w:r>
          </w:p>
        </w:tc>
        <w:tc>
          <w:tcPr>
            <w:tcW w:w="1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Statements of Cash Flows; and (v) Notes to Consolidated</w:t>
            </w:r>
          </w:p>
        </w:tc>
        <w:tc>
          <w:tcPr>
            <w:tcW w:w="1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Financial Statements, tagged as blocks of text and including</w:t>
            </w:r>
          </w:p>
        </w:tc>
        <w:tc>
          <w:tcPr>
            <w:tcW w:w="120" w:type="dxa"/>
            <w:vAlign w:val="bottom"/>
          </w:tcPr>
          <w:p>
            <w:pPr>
              <w:spacing w:after="0"/>
              <w:rPr>
                <w:sz w:val="14"/>
                <w:szCs w:val="14"/>
                <w:color w:val="auto"/>
              </w:rPr>
            </w:pPr>
          </w:p>
        </w:tc>
      </w:tr>
      <w:tr>
        <w:trPr>
          <w:trHeight w:val="230"/>
        </w:trPr>
        <w:tc>
          <w:tcPr>
            <w:tcW w:w="800" w:type="dxa"/>
            <w:vAlign w:val="bottom"/>
          </w:tcPr>
          <w:p>
            <w:pPr>
              <w:spacing w:after="0"/>
              <w:rPr>
                <w:sz w:val="20"/>
                <w:szCs w:val="20"/>
                <w:color w:val="auto"/>
              </w:rPr>
            </w:pPr>
          </w:p>
        </w:tc>
        <w:tc>
          <w:tcPr>
            <w:tcW w:w="9760" w:type="dxa"/>
            <w:vAlign w:val="bottom"/>
            <w:gridSpan w:val="16"/>
          </w:tcPr>
          <w:p>
            <w:pPr>
              <w:spacing w:after="0"/>
              <w:rPr>
                <w:sz w:val="20"/>
                <w:szCs w:val="20"/>
                <w:color w:val="auto"/>
              </w:rPr>
            </w:pPr>
            <w:r>
              <w:rPr>
                <w:rFonts w:ascii="Arial" w:cs="Arial" w:eastAsia="Arial" w:hAnsi="Arial"/>
                <w:sz w:val="18"/>
                <w:szCs w:val="18"/>
                <w:color w:val="auto"/>
              </w:rPr>
              <w:t>detailed tags.</w:t>
            </w:r>
          </w:p>
        </w:tc>
        <w:tc>
          <w:tcPr>
            <w:tcW w:w="120" w:type="dxa"/>
            <w:vAlign w:val="bottom"/>
          </w:tcPr>
          <w:p>
            <w:pPr>
              <w:spacing w:after="0"/>
              <w:rPr>
                <w:sz w:val="20"/>
                <w:szCs w:val="20"/>
                <w:color w:val="auto"/>
              </w:rPr>
            </w:pPr>
          </w:p>
        </w:tc>
      </w:tr>
      <w:tr>
        <w:trPr>
          <w:trHeight w:val="242"/>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9760" w:type="dxa"/>
            <w:vAlign w:val="bottom"/>
            <w:gridSpan w:val="16"/>
          </w:tcPr>
          <w:p>
            <w:pPr>
              <w:spacing w:after="0"/>
              <w:rPr>
                <w:sz w:val="20"/>
                <w:szCs w:val="20"/>
                <w:color w:val="auto"/>
              </w:rPr>
            </w:pPr>
            <w:r>
              <w:rPr>
                <w:rFonts w:ascii="Arial" w:cs="Arial" w:eastAsia="Arial" w:hAnsi="Arial"/>
                <w:sz w:val="18"/>
                <w:szCs w:val="18"/>
                <w:color w:val="auto"/>
              </w:rPr>
              <w:t>The Cover page from the Annual Report on Form 10-K of</w:t>
            </w:r>
          </w:p>
        </w:tc>
        <w:tc>
          <w:tcPr>
            <w:tcW w:w="120" w:type="dxa"/>
            <w:vAlign w:val="bottom"/>
          </w:tcPr>
          <w:p>
            <w:pPr>
              <w:spacing w:after="0"/>
              <w:rPr>
                <w:sz w:val="20"/>
                <w:szCs w:val="20"/>
                <w:color w:val="auto"/>
              </w:rPr>
            </w:pPr>
            <w:r>
              <w:rPr>
                <w:rFonts w:ascii="Arial" w:cs="Arial" w:eastAsia="Arial" w:hAnsi="Arial"/>
                <w:sz w:val="18"/>
                <w:szCs w:val="18"/>
                <w:color w:val="auto"/>
                <w:w w:val="82"/>
              </w:rPr>
              <w:t>X</w:t>
            </w:r>
          </w:p>
        </w:tc>
      </w:tr>
      <w:tr>
        <w:trPr>
          <w:trHeight w:val="162"/>
        </w:trPr>
        <w:tc>
          <w:tcPr>
            <w:tcW w:w="800" w:type="dxa"/>
            <w:vAlign w:val="bottom"/>
          </w:tcPr>
          <w:p>
            <w:pPr>
              <w:spacing w:after="0"/>
              <w:rPr>
                <w:sz w:val="14"/>
                <w:szCs w:val="14"/>
                <w:color w:val="auto"/>
              </w:rPr>
            </w:pPr>
          </w:p>
        </w:tc>
        <w:tc>
          <w:tcPr>
            <w:tcW w:w="9760" w:type="dxa"/>
            <w:vAlign w:val="bottom"/>
            <w:gridSpan w:val="16"/>
          </w:tcPr>
          <w:p>
            <w:pPr>
              <w:spacing w:after="0" w:line="162" w:lineRule="exact"/>
              <w:rPr>
                <w:sz w:val="20"/>
                <w:szCs w:val="20"/>
                <w:color w:val="auto"/>
              </w:rPr>
            </w:pPr>
            <w:r>
              <w:rPr>
                <w:rFonts w:ascii="Arial" w:cs="Arial" w:eastAsia="Arial" w:hAnsi="Arial"/>
                <w:sz w:val="18"/>
                <w:szCs w:val="18"/>
                <w:color w:val="auto"/>
              </w:rPr>
              <w:t>Sarepta Therapeutics, Inc for the year ended December 31,</w:t>
            </w:r>
          </w:p>
        </w:tc>
        <w:tc>
          <w:tcPr>
            <w:tcW w:w="120" w:type="dxa"/>
            <w:vAlign w:val="bottom"/>
          </w:tcPr>
          <w:p>
            <w:pPr>
              <w:spacing w:after="0"/>
              <w:rPr>
                <w:sz w:val="14"/>
                <w:szCs w:val="14"/>
                <w:color w:val="auto"/>
              </w:rPr>
            </w:pPr>
          </w:p>
        </w:tc>
      </w:tr>
      <w:tr>
        <w:trPr>
          <w:trHeight w:val="230"/>
        </w:trPr>
        <w:tc>
          <w:tcPr>
            <w:tcW w:w="800" w:type="dxa"/>
            <w:vAlign w:val="bottom"/>
          </w:tcPr>
          <w:p>
            <w:pPr>
              <w:spacing w:after="0"/>
              <w:rPr>
                <w:sz w:val="20"/>
                <w:szCs w:val="20"/>
                <w:color w:val="auto"/>
              </w:rPr>
            </w:pPr>
          </w:p>
        </w:tc>
        <w:tc>
          <w:tcPr>
            <w:tcW w:w="9760" w:type="dxa"/>
            <w:vAlign w:val="bottom"/>
            <w:gridSpan w:val="16"/>
          </w:tcPr>
          <w:p>
            <w:pPr>
              <w:spacing w:after="0"/>
              <w:rPr>
                <w:sz w:val="20"/>
                <w:szCs w:val="20"/>
                <w:color w:val="auto"/>
              </w:rPr>
            </w:pPr>
            <w:r>
              <w:rPr>
                <w:rFonts w:ascii="Arial" w:cs="Arial" w:eastAsia="Arial" w:hAnsi="Arial"/>
                <w:sz w:val="18"/>
                <w:szCs w:val="18"/>
                <w:color w:val="auto"/>
              </w:rPr>
              <w:t>2021, formatted in Inline XBRL.</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512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12" w:lineRule="exact"/>
        <w:rPr>
          <w:sz w:val="20"/>
          <w:szCs w:val="20"/>
          <w:color w:val="auto"/>
        </w:rPr>
      </w:pPr>
    </w:p>
    <w:p>
      <w:pPr>
        <w:ind w:right="140" w:firstLine="8"/>
        <w:spacing w:after="0" w:line="234" w:lineRule="auto"/>
        <w:tabs>
          <w:tab w:leader="none" w:pos="129"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the exhibit because it is both (i) not material and (ii) would be competitively harmful if publicly disclosed.</w:t>
      </w:r>
    </w:p>
    <w:p>
      <w:pPr>
        <w:spacing w:after="0" w:line="1" w:lineRule="exact"/>
        <w:rPr>
          <w:rFonts w:ascii="Arial" w:cs="Arial" w:eastAsia="Arial" w:hAnsi="Arial"/>
          <w:sz w:val="18"/>
          <w:szCs w:val="18"/>
          <w:color w:val="auto"/>
        </w:rPr>
      </w:pPr>
    </w:p>
    <w:p>
      <w:pPr>
        <w:spacing w:after="0" w:line="234" w:lineRule="auto"/>
        <w:rPr>
          <w:rFonts w:ascii="Arial" w:cs="Arial" w:eastAsia="Arial" w:hAnsi="Arial"/>
          <w:sz w:val="18"/>
          <w:szCs w:val="18"/>
          <w:color w:val="auto"/>
        </w:rPr>
      </w:pPr>
      <w:r>
        <w:rPr>
          <w:rFonts w:ascii="Arial" w:cs="Arial" w:eastAsia="Arial" w:hAnsi="Arial"/>
          <w:sz w:val="18"/>
          <w:szCs w:val="18"/>
          <w:color w:val="auto"/>
        </w:rPr>
        <w:t>* Confidential treatment has been granted for portions of this exhibit.</w:t>
      </w:r>
    </w:p>
    <w:p>
      <w:pPr>
        <w:spacing w:after="0" w:line="239" w:lineRule="auto"/>
        <w:rPr>
          <w:rFonts w:ascii="Arial" w:cs="Arial" w:eastAsia="Arial" w:hAnsi="Arial"/>
          <w:sz w:val="18"/>
          <w:szCs w:val="18"/>
          <w:color w:val="auto"/>
        </w:rPr>
      </w:pPr>
      <w:r>
        <w:rPr>
          <w:rFonts w:ascii="Arial" w:cs="Arial" w:eastAsia="Arial" w:hAnsi="Arial"/>
          <w:sz w:val="18"/>
          <w:szCs w:val="18"/>
          <w:color w:val="auto"/>
        </w:rPr>
        <w:t>** Furnished herewith. This exhibit shall not be deemed “filed” for purposes of Section 18 of the Securities Exchange Act of 1934, or otherwise subject to the liability of that Section. Such exhibit shall not be deemed incorporated into any filing under the Securities Act of 1933 or the Securities Exchange Act of 1934.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8"/>
          <w:szCs w:val="18"/>
          <w:color w:val="auto"/>
        </w:rPr>
        <w:t>Dated: March 1, 2022</w:t>
      </w:r>
      <w:r>
        <w:rPr>
          <w:sz w:val="20"/>
          <w:szCs w:val="20"/>
          <w:color w:val="auto"/>
        </w:rPr>
        <w:tab/>
      </w:r>
      <w:r>
        <w:rPr>
          <w:rFonts w:ascii="Arial" w:cs="Arial" w:eastAsia="Arial" w:hAnsi="Arial"/>
          <w:sz w:val="17"/>
          <w:szCs w:val="17"/>
          <w:color w:val="auto"/>
        </w:rPr>
        <w:t>SAREPTA THERAPEUTICS, INC.</w:t>
      </w:r>
    </w:p>
    <w:p>
      <w:pPr>
        <w:spacing w:after="0" w:line="198" w:lineRule="exact"/>
        <w:rPr>
          <w:sz w:val="20"/>
          <w:szCs w:val="20"/>
          <w:color w:val="auto"/>
        </w:rPr>
      </w:pPr>
    </w:p>
    <w:p>
      <w:pPr>
        <w:ind w:left="5900"/>
        <w:spacing w:after="0"/>
        <w:tabs>
          <w:tab w:leader="none" w:pos="6340" w:val="left"/>
        </w:tabs>
        <w:rPr>
          <w:sz w:val="20"/>
          <w:szCs w:val="20"/>
          <w:color w:val="auto"/>
        </w:rPr>
      </w:pPr>
      <w:r>
        <w:rPr>
          <w:rFonts w:ascii="Arial" w:cs="Arial" w:eastAsia="Arial" w:hAnsi="Arial"/>
          <w:sz w:val="18"/>
          <w:szCs w:val="18"/>
          <w:color w:val="auto"/>
        </w:rPr>
        <w:t>By:</w:t>
        <w:tab/>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-1905</wp:posOffset>
            </wp:positionV>
            <wp:extent cx="31032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6360"/>
        <w:spacing w:after="0"/>
        <w:rPr>
          <w:sz w:val="20"/>
          <w:szCs w:val="20"/>
          <w:color w:val="auto"/>
        </w:rPr>
      </w:pPr>
      <w:r>
        <w:rPr>
          <w:rFonts w:ascii="Arial" w:cs="Arial" w:eastAsia="Arial" w:hAnsi="Arial"/>
          <w:sz w:val="18"/>
          <w:szCs w:val="18"/>
          <w:color w:val="auto"/>
        </w:rPr>
        <w:t>Douglas S. Ingram</w:t>
      </w:r>
    </w:p>
    <w:p>
      <w:pPr>
        <w:ind w:left="6360"/>
        <w:spacing w:after="0"/>
        <w:rPr>
          <w:sz w:val="20"/>
          <w:szCs w:val="20"/>
          <w:color w:val="auto"/>
        </w:rPr>
      </w:pPr>
      <w:r>
        <w:rPr>
          <w:rFonts w:ascii="Arial" w:cs="Arial" w:eastAsia="Arial" w:hAnsi="Arial"/>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Douglas S. Ingram and Ian M. Estepan,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and his or her substitute or substitutes, may lawfully do or cause to be done by virtue thereof.</w:t>
      </w:r>
    </w:p>
    <w:p>
      <w:pPr>
        <w:spacing w:after="0" w:line="162"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4"/>
                <w:szCs w:val="14"/>
                <w:color w:val="auto"/>
              </w:rPr>
            </w:pPr>
          </w:p>
        </w:tc>
        <w:tc>
          <w:tcPr>
            <w:tcW w:w="664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18"/>
        </w:trPr>
        <w:tc>
          <w:tcPr>
            <w:tcW w:w="4480" w:type="dxa"/>
            <w:vAlign w:val="bottom"/>
            <w:vMerge w:val="restart"/>
          </w:tcPr>
          <w:p>
            <w:pPr>
              <w:jc w:val="center"/>
              <w:spacing w:after="0"/>
              <w:rPr>
                <w:sz w:val="20"/>
                <w:szCs w:val="20"/>
                <w:color w:val="auto"/>
              </w:rPr>
            </w:pPr>
            <w:r>
              <w:rPr>
                <w:rFonts w:ascii="Arial" w:cs="Arial" w:eastAsia="Arial" w:hAnsi="Arial"/>
                <w:sz w:val="18"/>
                <w:szCs w:val="18"/>
                <w:color w:val="auto"/>
                <w:w w:val="91"/>
              </w:rPr>
              <w:t>/s/ Douglas S. Ingram</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 (Principal Executive Officer)</w:t>
            </w:r>
          </w:p>
        </w:tc>
        <w:tc>
          <w:tcPr>
            <w:tcW w:w="0" w:type="dxa"/>
            <w:vAlign w:val="bottom"/>
          </w:tcPr>
          <w:p>
            <w:pPr>
              <w:spacing w:after="0"/>
              <w:rPr>
                <w:sz w:val="1"/>
                <w:szCs w:val="1"/>
                <w:color w:val="auto"/>
              </w:rPr>
            </w:pPr>
          </w:p>
        </w:tc>
      </w:tr>
      <w:tr>
        <w:trPr>
          <w:trHeight w:val="153"/>
        </w:trPr>
        <w:tc>
          <w:tcPr>
            <w:tcW w:w="44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89"/>
              </w:rPr>
              <w:t>Douglas S. Ingram</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80" w:type="dxa"/>
            <w:vAlign w:val="bottom"/>
            <w:vMerge w:val="restart"/>
          </w:tcPr>
          <w:p>
            <w:pPr>
              <w:jc w:val="center"/>
              <w:spacing w:after="0"/>
              <w:rPr>
                <w:sz w:val="20"/>
                <w:szCs w:val="20"/>
                <w:color w:val="auto"/>
              </w:rPr>
            </w:pPr>
            <w:r>
              <w:rPr>
                <w:rFonts w:ascii="Arial" w:cs="Arial" w:eastAsia="Arial" w:hAnsi="Arial"/>
                <w:sz w:val="18"/>
                <w:szCs w:val="18"/>
                <w:color w:val="auto"/>
                <w:w w:val="89"/>
              </w:rPr>
              <w:t>/s/ Ian M. Estepan</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w w:val="98"/>
              </w:rPr>
              <w:t>Executive Vice President, Chief Financial Officer (Principal Financial and Accounting</w:t>
            </w:r>
          </w:p>
        </w:tc>
        <w:tc>
          <w:tcPr>
            <w:tcW w:w="0" w:type="dxa"/>
            <w:vAlign w:val="bottom"/>
          </w:tcPr>
          <w:p>
            <w:pPr>
              <w:spacing w:after="0"/>
              <w:rPr>
                <w:sz w:val="1"/>
                <w:szCs w:val="1"/>
                <w:color w:val="auto"/>
              </w:rPr>
            </w:pPr>
          </w:p>
        </w:tc>
      </w:tr>
      <w:tr>
        <w:trPr>
          <w:trHeight w:val="208"/>
        </w:trPr>
        <w:tc>
          <w:tcPr>
            <w:tcW w:w="4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90"/>
              </w:rPr>
              <w:t>Ian M. Estepan</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480" w:type="dxa"/>
            <w:vAlign w:val="bottom"/>
            <w:vMerge w:val="restart"/>
          </w:tcPr>
          <w:p>
            <w:pPr>
              <w:jc w:val="center"/>
              <w:spacing w:after="0"/>
              <w:rPr>
                <w:sz w:val="20"/>
                <w:szCs w:val="20"/>
                <w:color w:val="auto"/>
              </w:rPr>
            </w:pPr>
            <w:r>
              <w:rPr>
                <w:rFonts w:ascii="Arial" w:cs="Arial" w:eastAsia="Arial" w:hAnsi="Arial"/>
                <w:sz w:val="18"/>
                <w:szCs w:val="18"/>
                <w:color w:val="auto"/>
                <w:w w:val="90"/>
              </w:rPr>
              <w:t>/s/ M. Kathleen Behrens</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Chairwoman of the Board</w:t>
            </w:r>
          </w:p>
        </w:tc>
        <w:tc>
          <w:tcPr>
            <w:tcW w:w="0" w:type="dxa"/>
            <w:vAlign w:val="bottom"/>
          </w:tcPr>
          <w:p>
            <w:pPr>
              <w:spacing w:after="0"/>
              <w:rPr>
                <w:sz w:val="1"/>
                <w:szCs w:val="1"/>
                <w:color w:val="auto"/>
              </w:rPr>
            </w:pPr>
          </w:p>
        </w:tc>
      </w:tr>
      <w:tr>
        <w:trPr>
          <w:trHeight w:val="81"/>
        </w:trPr>
        <w:tc>
          <w:tcPr>
            <w:tcW w:w="4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90"/>
              </w:rPr>
              <w:t>M. Kathleen Behrens, Ph.D.</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480" w:type="dxa"/>
            <w:vAlign w:val="bottom"/>
            <w:vMerge w:val="restart"/>
          </w:tcPr>
          <w:p>
            <w:pPr>
              <w:jc w:val="center"/>
              <w:spacing w:after="0"/>
              <w:rPr>
                <w:sz w:val="20"/>
                <w:szCs w:val="20"/>
                <w:color w:val="auto"/>
              </w:rPr>
            </w:pPr>
            <w:r>
              <w:rPr>
                <w:rFonts w:ascii="Arial" w:cs="Arial" w:eastAsia="Arial" w:hAnsi="Arial"/>
                <w:sz w:val="18"/>
                <w:szCs w:val="18"/>
                <w:color w:val="auto"/>
                <w:w w:val="92"/>
              </w:rPr>
              <w:t>/s/ Richard Barry</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1"/>
        </w:trPr>
        <w:tc>
          <w:tcPr>
            <w:tcW w:w="4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92"/>
              </w:rPr>
              <w:t>Richard Barry</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Mary Ann Gray</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color w:val="auto"/>
                <w:w w:val="91"/>
              </w:rPr>
              <w:t>Mary Ann Gray, Ph.D.</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480" w:type="dxa"/>
            <w:vAlign w:val="bottom"/>
          </w:tcPr>
          <w:p>
            <w:pPr>
              <w:jc w:val="center"/>
              <w:spacing w:after="0"/>
              <w:rPr>
                <w:sz w:val="20"/>
                <w:szCs w:val="20"/>
                <w:color w:val="auto"/>
              </w:rPr>
            </w:pPr>
            <w:r>
              <w:rPr>
                <w:rFonts w:ascii="Arial" w:cs="Arial" w:eastAsia="Arial" w:hAnsi="Arial"/>
                <w:sz w:val="18"/>
                <w:szCs w:val="18"/>
                <w:color w:val="auto"/>
                <w:w w:val="91"/>
              </w:rPr>
              <w:t>/s/ Stephen L. Mayo</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4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91"/>
              </w:rPr>
              <w:t>Stephen L. Mayo, Ph.D.</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/s/ Claude Nicaise</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1"/>
        </w:trPr>
        <w:tc>
          <w:tcPr>
            <w:tcW w:w="4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91"/>
              </w:rPr>
              <w:t>Claude Nicaise, MD</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80" w:type="dxa"/>
            <w:vAlign w:val="bottom"/>
          </w:tcPr>
          <w:p>
            <w:pPr>
              <w:jc w:val="center"/>
              <w:spacing w:after="0"/>
              <w:rPr>
                <w:sz w:val="20"/>
                <w:szCs w:val="20"/>
                <w:color w:val="auto"/>
              </w:rPr>
            </w:pPr>
            <w:r>
              <w:rPr>
                <w:rFonts w:ascii="Arial" w:cs="Arial" w:eastAsia="Arial" w:hAnsi="Arial"/>
                <w:sz w:val="18"/>
                <w:szCs w:val="18"/>
                <w:color w:val="auto"/>
                <w:w w:val="91"/>
              </w:rPr>
              <w:t>/s/ Hans Wigzell</w:t>
            </w:r>
          </w:p>
        </w:tc>
        <w:tc>
          <w:tcPr>
            <w:tcW w:w="12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4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80" w:type="dxa"/>
            <w:vAlign w:val="bottom"/>
          </w:tcPr>
          <w:p>
            <w:pPr>
              <w:jc w:val="center"/>
              <w:spacing w:after="0"/>
              <w:rPr>
                <w:sz w:val="20"/>
                <w:szCs w:val="20"/>
                <w:color w:val="auto"/>
              </w:rPr>
            </w:pPr>
            <w:r>
              <w:rPr>
                <w:rFonts w:ascii="Arial" w:cs="Arial" w:eastAsia="Arial" w:hAnsi="Arial"/>
                <w:sz w:val="18"/>
                <w:szCs w:val="18"/>
                <w:color w:val="auto"/>
                <w:w w:val="93"/>
              </w:rPr>
              <w:t>Hans Wigzell, M.D., Ph.D.</w:t>
            </w: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4480" w:type="dxa"/>
            <w:vAlign w:val="bottom"/>
          </w:tcPr>
          <w:p>
            <w:pPr>
              <w:spacing w:after="0"/>
              <w:rPr>
                <w:sz w:val="24"/>
                <w:szCs w:val="24"/>
                <w:color w:val="auto"/>
              </w:rPr>
            </w:pPr>
          </w:p>
        </w:tc>
        <w:tc>
          <w:tcPr>
            <w:tcW w:w="6760" w:type="dxa"/>
            <w:vAlign w:val="bottom"/>
            <w:gridSpan w:val="2"/>
          </w:tcPr>
          <w:p>
            <w:pPr>
              <w:jc w:val="right"/>
              <w:ind w:right="537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1"/>
        </w:trPr>
        <w:tc>
          <w:tcPr>
            <w:tcW w:w="4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440" w:type="dxa"/>
            <w:vAlign w:val="bottom"/>
            <w:gridSpan w:val="7"/>
            <w:vMerge w:val="restart"/>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Report of Independent Registered Public Accounting Firm (KPMG LLP, Boston, MA, Auditor Firm ID: 185)</w:t>
              </w:r>
            </w:hyperlink>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40" w:type="dxa"/>
            <w:vAlign w:val="bottom"/>
            <w:gridSpan w:val="7"/>
            <w:vMerge w:val="continue"/>
          </w:tcPr>
          <w:p>
            <w:pPr>
              <w:spacing w:after="0"/>
              <w:rPr>
                <w:sz w:val="14"/>
                <w:szCs w:val="14"/>
                <w:color w:val="auto"/>
              </w:rPr>
            </w:pPr>
          </w:p>
        </w:tc>
        <w:tc>
          <w:tcPr>
            <w:tcW w:w="780" w:type="dxa"/>
            <w:vAlign w:val="bottom"/>
          </w:tcPr>
          <w:p>
            <w:pPr>
              <w:ind w:left="520"/>
              <w:spacing w:after="0" w:line="169"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80" w:type="dxa"/>
            <w:vAlign w:val="bottom"/>
            <w:tcBorders>
              <w:top w:val="single" w:sz="8" w:color="0000EE"/>
            </w:tcBorders>
            <w:gridSpan w:val="6"/>
          </w:tcPr>
          <w:p>
            <w:pPr>
              <w:spacing w:after="0" w:line="182" w:lineRule="exact"/>
              <w:rPr>
                <w:rFonts w:ascii="Arial" w:cs="Arial" w:eastAsia="Arial" w:hAnsi="Arial"/>
                <w:sz w:val="18"/>
                <w:szCs w:val="18"/>
                <w:color w:val="0000FF"/>
              </w:rPr>
            </w:pPr>
            <w:hyperlink w:anchor="page97">
              <w:r>
                <w:rPr>
                  <w:rFonts w:ascii="Arial" w:cs="Arial" w:eastAsia="Arial" w:hAnsi="Arial"/>
                  <w:sz w:val="18"/>
                  <w:szCs w:val="18"/>
                  <w:color w:val="0000FF"/>
                </w:rPr>
                <w:t>Consolidated Balance Sheets</w:t>
              </w:r>
            </w:hyperlink>
          </w:p>
        </w:tc>
        <w:tc>
          <w:tcPr>
            <w:tcW w:w="2560" w:type="dxa"/>
            <w:vAlign w:val="bottom"/>
          </w:tcPr>
          <w:p>
            <w:pPr>
              <w:spacing w:after="0"/>
              <w:rPr>
                <w:sz w:val="15"/>
                <w:szCs w:val="15"/>
                <w:color w:val="auto"/>
              </w:rPr>
            </w:pPr>
          </w:p>
        </w:tc>
        <w:tc>
          <w:tcPr>
            <w:tcW w:w="780" w:type="dxa"/>
            <w:vAlign w:val="bottom"/>
          </w:tcPr>
          <w:p>
            <w:pPr>
              <w:ind w:left="520"/>
              <w:spacing w:after="0" w:line="182"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tcPr>
          <w:p>
            <w:pPr>
              <w:spacing w:after="0" w:line="182" w:lineRule="exact"/>
              <w:rPr>
                <w:rFonts w:ascii="Arial" w:cs="Arial" w:eastAsia="Arial" w:hAnsi="Arial"/>
                <w:sz w:val="18"/>
                <w:szCs w:val="18"/>
                <w:color w:val="0000FF"/>
                <w:w w:val="94"/>
              </w:rPr>
            </w:pPr>
            <w:hyperlink w:anchor="page98">
              <w:r>
                <w:rPr>
                  <w:rFonts w:ascii="Arial" w:cs="Arial" w:eastAsia="Arial" w:hAnsi="Arial"/>
                  <w:sz w:val="18"/>
                  <w:szCs w:val="18"/>
                  <w:color w:val="0000FF"/>
                  <w:w w:val="94"/>
                </w:rPr>
                <w:t>Consolidated Statements of</w:t>
              </w:r>
            </w:hyperlink>
          </w:p>
        </w:tc>
        <w:tc>
          <w:tcPr>
            <w:tcW w:w="8340" w:type="dxa"/>
            <w:vAlign w:val="bottom"/>
            <w:gridSpan w:val="6"/>
          </w:tcPr>
          <w:p>
            <w:pPr>
              <w:spacing w:after="0" w:line="182" w:lineRule="exact"/>
              <w:rPr>
                <w:rFonts w:ascii="Arial" w:cs="Arial" w:eastAsia="Arial" w:hAnsi="Arial"/>
                <w:sz w:val="18"/>
                <w:szCs w:val="18"/>
                <w:color w:val="0000FF"/>
              </w:rPr>
            </w:pPr>
            <w:hyperlink w:anchor="page98">
              <w:r>
                <w:rPr>
                  <w:rFonts w:ascii="Arial" w:cs="Arial" w:eastAsia="Arial" w:hAnsi="Arial"/>
                  <w:sz w:val="18"/>
                  <w:szCs w:val="18"/>
                  <w:color w:val="0000FF"/>
                </w:rPr>
                <w:t>Operations and Comprehensive Loss</w:t>
              </w:r>
            </w:hyperlink>
          </w:p>
        </w:tc>
        <w:tc>
          <w:tcPr>
            <w:tcW w:w="780" w:type="dxa"/>
            <w:vAlign w:val="bottom"/>
          </w:tcPr>
          <w:p>
            <w:pPr>
              <w:ind w:left="520"/>
              <w:spacing w:after="0" w:line="182"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680" w:type="dxa"/>
            <w:vAlign w:val="bottom"/>
            <w:tcBorders>
              <w:top w:val="single" w:sz="8" w:color="0000EE"/>
            </w:tcBorders>
            <w:gridSpan w:val="5"/>
          </w:tcPr>
          <w:p>
            <w:pPr>
              <w:spacing w:after="0" w:line="182" w:lineRule="exact"/>
              <w:rPr>
                <w:rFonts w:ascii="Arial" w:cs="Arial" w:eastAsia="Arial" w:hAnsi="Arial"/>
                <w:sz w:val="18"/>
                <w:szCs w:val="18"/>
                <w:color w:val="0000FF"/>
              </w:rPr>
            </w:pPr>
            <w:hyperlink w:anchor="page99">
              <w:r>
                <w:rPr>
                  <w:rFonts w:ascii="Arial" w:cs="Arial" w:eastAsia="Arial" w:hAnsi="Arial"/>
                  <w:sz w:val="18"/>
                  <w:szCs w:val="18"/>
                  <w:color w:val="0000FF"/>
                </w:rPr>
                <w:t>Consolidated Statements of Stockholders’ Equity</w:t>
              </w:r>
            </w:hyperlink>
          </w:p>
        </w:tc>
        <w:tc>
          <w:tcPr>
            <w:tcW w:w="5760" w:type="dxa"/>
            <w:vAlign w:val="bottom"/>
            <w:gridSpan w:val="2"/>
          </w:tcPr>
          <w:p>
            <w:pPr>
              <w:spacing w:after="0"/>
              <w:rPr>
                <w:sz w:val="15"/>
                <w:szCs w:val="15"/>
                <w:color w:val="auto"/>
              </w:rPr>
            </w:pPr>
          </w:p>
        </w:tc>
        <w:tc>
          <w:tcPr>
            <w:tcW w:w="780" w:type="dxa"/>
            <w:vAlign w:val="bottom"/>
          </w:tcPr>
          <w:p>
            <w:pPr>
              <w:ind w:left="520"/>
              <w:spacing w:after="0" w:line="182"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Consolidated Statements of Cash Flows</w:t>
              </w:r>
            </w:hyperlink>
          </w:p>
        </w:tc>
        <w:tc>
          <w:tcPr>
            <w:tcW w:w="660" w:type="dxa"/>
            <w:vAlign w:val="bottom"/>
            <w:tcBorders>
              <w:top w:val="single" w:sz="8" w:color="0000EE"/>
            </w:tcBorders>
            <w:gridSpan w:val="2"/>
          </w:tcPr>
          <w:p>
            <w:pPr>
              <w:spacing w:after="0"/>
              <w:rPr>
                <w:sz w:val="15"/>
                <w:szCs w:val="15"/>
                <w:color w:val="auto"/>
              </w:rPr>
            </w:pPr>
          </w:p>
        </w:tc>
        <w:tc>
          <w:tcPr>
            <w:tcW w:w="6900" w:type="dxa"/>
            <w:vAlign w:val="bottom"/>
            <w:gridSpan w:val="3"/>
          </w:tcPr>
          <w:p>
            <w:pPr>
              <w:spacing w:after="0"/>
              <w:rPr>
                <w:sz w:val="15"/>
                <w:szCs w:val="15"/>
                <w:color w:val="auto"/>
              </w:rPr>
            </w:pPr>
          </w:p>
        </w:tc>
        <w:tc>
          <w:tcPr>
            <w:tcW w:w="780" w:type="dxa"/>
            <w:vAlign w:val="bottom"/>
          </w:tcPr>
          <w:p>
            <w:pPr>
              <w:ind w:left="520"/>
              <w:spacing w:after="0" w:line="182"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40" w:type="dxa"/>
            <w:vAlign w:val="bottom"/>
            <w:gridSpan w:val="7"/>
          </w:tcPr>
          <w:p>
            <w:pPr>
              <w:spacing w:after="0" w:line="182" w:lineRule="exact"/>
              <w:rPr>
                <w:rFonts w:ascii="Arial" w:cs="Arial" w:eastAsia="Arial" w:hAnsi="Arial"/>
                <w:sz w:val="18"/>
                <w:szCs w:val="18"/>
                <w:color w:val="0000FF"/>
              </w:rPr>
            </w:pPr>
            <w:hyperlink w:anchor="page101">
              <w:r>
                <w:rPr>
                  <w:rFonts w:ascii="Arial" w:cs="Arial" w:eastAsia="Arial" w:hAnsi="Arial"/>
                  <w:sz w:val="18"/>
                  <w:szCs w:val="18"/>
                  <w:color w:val="0000FF"/>
                </w:rPr>
                <w:t>Notes to Consolidated Financial Statements</w:t>
              </w:r>
            </w:hyperlink>
          </w:p>
        </w:tc>
        <w:tc>
          <w:tcPr>
            <w:tcW w:w="780" w:type="dxa"/>
            <w:vAlign w:val="bottom"/>
          </w:tcPr>
          <w:p>
            <w:pPr>
              <w:ind w:left="520"/>
              <w:spacing w:after="0" w:line="182"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gridSpan w:val="2"/>
          </w:tcPr>
          <w:p>
            <w:pPr>
              <w:ind w:left="800"/>
              <w:spacing w:after="0"/>
              <w:rPr>
                <w:sz w:val="20"/>
                <w:szCs w:val="20"/>
                <w:color w:val="auto"/>
              </w:rPr>
            </w:pPr>
            <w:r>
              <w:rPr>
                <w:rFonts w:ascii="Arial" w:cs="Arial" w:eastAsia="Arial" w:hAnsi="Arial"/>
                <w:sz w:val="18"/>
                <w:szCs w:val="18"/>
                <w:color w:val="auto"/>
              </w:rPr>
              <w:t>F-1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Sarepta Therapeutics,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1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We have audited the accompanying consolidated balance sheets of Sarepta Therapeutics, Inc. and subsidiaries (the Company) as of December 31, 2021 and 2020, the related consolidated statements of operations and comprehensive loss, stockholders’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7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9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convertible debt as of January 1, 2021 due to the adoption of Accounting Standards Update (ASU) No. 2020-06,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 Contracts in Entity’s Own Equity (Subtopic 815-40): Accounting for Convertible Instruments and Contracts in an Entity’s Own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9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p>
      <w:pPr>
        <w:ind w:right="680"/>
        <w:spacing w:after="0" w:line="307" w:lineRule="auto"/>
        <w:rPr>
          <w:sz w:val="20"/>
          <w:szCs w:val="20"/>
          <w:color w:val="auto"/>
        </w:rPr>
      </w:pPr>
      <w:r>
        <w:rPr>
          <w:rFonts w:ascii="Arial" w:cs="Arial" w:eastAsia="Arial" w:hAnsi="Arial"/>
          <w:sz w:val="16"/>
          <w:szCs w:val="16"/>
          <w:color w:val="auto"/>
        </w:rPr>
        <w:t>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Evaluation of lower of cost or net realizable value of raw materials inventory</w:t>
      </w:r>
    </w:p>
    <w:p>
      <w:pPr>
        <w:spacing w:after="0" w:line="212" w:lineRule="exact"/>
        <w:rPr>
          <w:sz w:val="20"/>
          <w:szCs w:val="20"/>
          <w:color w:val="auto"/>
        </w:rPr>
      </w:pPr>
    </w:p>
    <w:p>
      <w:pPr>
        <w:ind w:left="760" w:right="240"/>
        <w:spacing w:after="0" w:line="248" w:lineRule="auto"/>
        <w:rPr>
          <w:sz w:val="20"/>
          <w:szCs w:val="20"/>
          <w:color w:val="auto"/>
        </w:rPr>
      </w:pPr>
      <w:r>
        <w:rPr>
          <w:rFonts w:ascii="Arial" w:cs="Arial" w:eastAsia="Arial" w:hAnsi="Arial"/>
          <w:sz w:val="18"/>
          <w:szCs w:val="18"/>
          <w:color w:val="auto"/>
        </w:rPr>
        <w:t>As described in Note 2 and Note 8 to the consolidated financial statements, approximately 19%, or $58.8 million, of the Company’s total inventory balance is comprised of raw materials. As discussed in Note 2, the Company periodically analyzes its raw materials inventories, and writes down obsolete or otherwise unmarketable inventory to its estimated net realizable value.</w:t>
      </w:r>
    </w:p>
    <w:p>
      <w:pPr>
        <w:spacing w:after="0" w:line="182" w:lineRule="exact"/>
        <w:rPr>
          <w:sz w:val="20"/>
          <w:szCs w:val="20"/>
          <w:color w:val="auto"/>
        </w:rPr>
      </w:pPr>
    </w:p>
    <w:p>
      <w:pPr>
        <w:ind w:left="760"/>
        <w:spacing w:after="0" w:line="243" w:lineRule="auto"/>
        <w:rPr>
          <w:sz w:val="20"/>
          <w:szCs w:val="20"/>
          <w:color w:val="auto"/>
        </w:rPr>
      </w:pPr>
      <w:r>
        <w:rPr>
          <w:rFonts w:ascii="Arial" w:cs="Arial" w:eastAsia="Arial" w:hAnsi="Arial"/>
          <w:sz w:val="18"/>
          <w:szCs w:val="18"/>
          <w:color w:val="auto"/>
        </w:rPr>
        <w:t>We identified the evaluation of lower of cost or net realizable value of raw materials inventory as a critical audit matter. The estimate of expected future demand for raw materials inventory is difficult to assess and results in the application of greater auditor judgment. Specifically, challenging auditor judgment was required to assess the potential impact the Company’s gene therapy technologies and competitor RNA-targeted therapeutic or gene therapy products could have on existing raw materials inventory.</w:t>
      </w:r>
    </w:p>
    <w:p>
      <w:pPr>
        <w:spacing w:after="0" w:line="188" w:lineRule="exact"/>
        <w:rPr>
          <w:sz w:val="20"/>
          <w:szCs w:val="20"/>
          <w:color w:val="auto"/>
        </w:rPr>
      </w:pPr>
    </w:p>
    <w:p>
      <w:pPr>
        <w:ind w:left="760" w:right="40"/>
        <w:spacing w:after="0" w:line="238"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inventory valuation process, including controls related to the estimate of expected future demand for raw materials. We compared the Company’s prior period forecasted demand for raw materials to actual results to assess their ability to accurately estimate expected future demand. We evaluated clinical progress associated with the Company’s gene therapy technologies by inspecting internal meeting minutes and interviewing research and development personnel of the Company and assessed the potential impact of those technologies on expected future demand for raw materials inventory. We also read publicly available information to identify information regarding other competitor entities with RNA-targeted therapeutic or gene therapy products that could impact the Company’s estimates of expected future demand.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2,115,869</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1,502,648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7"/>
                <w:szCs w:val="17"/>
                <w:color w:val="auto"/>
              </w:rPr>
            </w:pP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435,923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152,990</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186,212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231,961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149,028</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213,324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2,604,099</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2,485,196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191,156</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190,430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14,239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13,628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 of use assets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45,531</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292,949</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3,147,974</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2,984,718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76,741</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111,090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271,697</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193,553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current portion</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89,244</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15,051</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452,733</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416,026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1,096,876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992,493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 net of current portion</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41,512</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80,367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574,244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663,488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43,600</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11,000</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2,219,965</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2,222,959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21)</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0"/>
              <w:spacing w:after="0" w:line="162" w:lineRule="exact"/>
              <w:rPr>
                <w:sz w:val="20"/>
                <w:szCs w:val="20"/>
                <w:color w:val="auto"/>
              </w:rPr>
            </w:pPr>
            <w:r>
              <w:rPr>
                <w:rFonts w:ascii="Arial" w:cs="Arial" w:eastAsia="Arial" w:hAnsi="Arial"/>
                <w:sz w:val="18"/>
                <w:szCs w:val="18"/>
                <w:color w:val="auto"/>
              </w:rPr>
              <w:t>Preferred stock, $.0001 par value, 3,333,333 shares authorized; none issued and</w:t>
            </w:r>
          </w:p>
        </w:tc>
        <w:tc>
          <w:tcPr>
            <w:tcW w:w="420" w:type="dxa"/>
            <w:vAlign w:val="bottom"/>
          </w:tcPr>
          <w:p>
            <w:pPr>
              <w:spacing w:after="0"/>
              <w:rPr>
                <w:sz w:val="14"/>
                <w:szCs w:val="14"/>
                <w:color w:val="auto"/>
              </w:rPr>
            </w:pPr>
          </w:p>
        </w:tc>
        <w:tc>
          <w:tcPr>
            <w:tcW w:w="1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4"/>
                <w:szCs w:val="14"/>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4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$.0001 par value, 198,000,000 shares authorized; 87,126,974</w:t>
            </w:r>
          </w:p>
        </w:tc>
        <w:tc>
          <w:tcPr>
            <w:tcW w:w="42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79,374,247 issued and outstanding at December 31, 2021 and 2020, respectively</w:t>
            </w:r>
          </w:p>
        </w:tc>
        <w:tc>
          <w:tcPr>
            <w:tcW w:w="42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4,134,768</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3,609,877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other comprehensive (loss) income, net of tax</w:t>
            </w:r>
          </w:p>
        </w:tc>
        <w:tc>
          <w:tcPr>
            <w:tcW w:w="4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(20 )</w:t>
            </w: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(3,206,748 )</w:t>
            </w:r>
          </w:p>
        </w:tc>
        <w:tc>
          <w:tcPr>
            <w:tcW w:w="46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(2,848,129 )</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928,009</w:t>
            </w:r>
          </w:p>
        </w:tc>
        <w:tc>
          <w:tcPr>
            <w:tcW w:w="3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761,759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3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3,147,974</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2,984,718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-4076700</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-4076700</wp:posOffset>
            </wp:positionV>
            <wp:extent cx="596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-3282315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-3265170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-3282315</wp:posOffset>
            </wp:positionV>
            <wp:extent cx="59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-3265170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-2216785</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-2216785</wp:posOffset>
            </wp:positionV>
            <wp:extent cx="5969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-1428115</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-1428115</wp:posOffset>
            </wp:positionV>
            <wp:extent cx="596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4"/>
              </w:rPr>
              <w:t>For the Year Ended December 31,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5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Products, net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612,401</w:t>
            </w:r>
          </w:p>
        </w:tc>
        <w:tc>
          <w:tcPr>
            <w:tcW w:w="200" w:type="dxa"/>
            <w:vAlign w:val="bottom"/>
          </w:tcPr>
          <w:p>
            <w:pPr>
              <w:spacing w:after="0"/>
              <w:rPr>
                <w:sz w:val="17"/>
                <w:szCs w:val="17"/>
                <w:color w:val="auto"/>
              </w:rPr>
            </w:pPr>
          </w:p>
        </w:tc>
        <w:tc>
          <w:tcPr>
            <w:tcW w:w="460" w:type="dxa"/>
            <w:vAlign w:val="bottom"/>
          </w:tcPr>
          <w:p>
            <w:pPr>
              <w:jc w:val="right"/>
              <w:ind w:right="275"/>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455,865</w:t>
            </w:r>
          </w:p>
        </w:tc>
        <w:tc>
          <w:tcPr>
            <w:tcW w:w="200" w:type="dxa"/>
            <w:vAlign w:val="bottom"/>
          </w:tcPr>
          <w:p>
            <w:pPr>
              <w:spacing w:after="0"/>
              <w:rPr>
                <w:sz w:val="17"/>
                <w:szCs w:val="17"/>
                <w:color w:val="auto"/>
              </w:rPr>
            </w:pP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380,833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Collaboration and other</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89,486</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84,234</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701,887</w:t>
            </w:r>
          </w:p>
        </w:tc>
        <w:tc>
          <w:tcPr>
            <w:tcW w:w="20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540,099</w:t>
            </w:r>
          </w:p>
        </w:tc>
        <w:tc>
          <w:tcPr>
            <w:tcW w:w="20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380,833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Cost and expenses: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sales (excluding amortization of in-licensed rights)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97,049</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63,382</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771,182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722,343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560,909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282,660</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317,875</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284,812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Settlement and license charges</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in-licensed rights</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706</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662</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400" w:type="dxa"/>
            <w:vAlign w:val="bottom"/>
          </w:tcPr>
          <w:p>
            <w:pPr>
              <w:spacing w:after="0"/>
              <w:rPr>
                <w:sz w:val="17"/>
                <w:szCs w:val="17"/>
                <w:color w:val="auto"/>
              </w:rPr>
            </w:pPr>
          </w:p>
        </w:tc>
        <w:tc>
          <w:tcPr>
            <w:tcW w:w="1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173,240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 and expenses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1,161,597</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1,104,262</w:t>
            </w:r>
          </w:p>
        </w:tc>
        <w:tc>
          <w:tcPr>
            <w:tcW w:w="2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1,086,396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17"/>
                <w:szCs w:val="17"/>
                <w:color w:val="auto"/>
              </w:rPr>
            </w:pPr>
          </w:p>
        </w:tc>
        <w:tc>
          <w:tcPr>
            <w:tcW w:w="15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(459,710 )</w:t>
            </w:r>
          </w:p>
        </w:tc>
        <w:tc>
          <w:tcPr>
            <w:tcW w:w="460" w:type="dxa"/>
            <w:vAlign w:val="bottom"/>
          </w:tcPr>
          <w:p>
            <w:pPr>
              <w:spacing w:after="0"/>
              <w:rPr>
                <w:sz w:val="17"/>
                <w:szCs w:val="17"/>
                <w:color w:val="auto"/>
              </w:rPr>
            </w:pP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(564,163 )</w:t>
            </w:r>
          </w:p>
        </w:tc>
        <w:tc>
          <w:tcPr>
            <w:tcW w:w="480" w:type="dxa"/>
            <w:vAlign w:val="bottom"/>
          </w:tcPr>
          <w:p>
            <w:pPr>
              <w:spacing w:after="0"/>
              <w:rPr>
                <w:sz w:val="17"/>
                <w:szCs w:val="17"/>
                <w:color w:val="auto"/>
              </w:rPr>
            </w:pP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(705,563 )</w:t>
            </w: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Other income (loss):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from sale of Priority Review Voucher</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102,000</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108,069</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Gain (loss) on contingent consideration, net</w:t>
            </w:r>
          </w:p>
        </w:tc>
        <w:tc>
          <w:tcPr>
            <w:tcW w:w="4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7,200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(45,000 )</w:t>
            </w:r>
          </w:p>
        </w:tc>
        <w:tc>
          <w:tcPr>
            <w:tcW w:w="480" w:type="dxa"/>
            <w:vAlign w:val="bottom"/>
          </w:tcPr>
          <w:p>
            <w:pPr>
              <w:spacing w:after="0"/>
              <w:rPr>
                <w:sz w:val="17"/>
                <w:szCs w:val="17"/>
                <w:color w:val="auto"/>
              </w:rPr>
            </w:pPr>
          </w:p>
        </w:tc>
        <w:tc>
          <w:tcPr>
            <w:tcW w:w="15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(68,438 )</w:t>
            </w: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(51,971 )</w:t>
            </w:r>
          </w:p>
        </w:tc>
        <w:tc>
          <w:tcPr>
            <w:tcW w:w="4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(8,317 )</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(loss)</w:t>
            </w:r>
          </w:p>
        </w:tc>
        <w:tc>
          <w:tcPr>
            <w:tcW w:w="4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40,762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11,098</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(8,317 )</w:t>
            </w: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Loss before income tax (benefit) expense</w:t>
            </w:r>
          </w:p>
        </w:tc>
        <w:tc>
          <w:tcPr>
            <w:tcW w:w="400" w:type="dxa"/>
            <w:vAlign w:val="bottom"/>
          </w:tcPr>
          <w:p>
            <w:pPr>
              <w:spacing w:after="0"/>
              <w:rPr>
                <w:sz w:val="17"/>
                <w:szCs w:val="17"/>
                <w:color w:val="auto"/>
              </w:rPr>
            </w:pP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(418,948 )</w:t>
            </w:r>
          </w:p>
        </w:tc>
        <w:tc>
          <w:tcPr>
            <w:tcW w:w="460" w:type="dxa"/>
            <w:vAlign w:val="bottom"/>
          </w:tcPr>
          <w:p>
            <w:pPr>
              <w:spacing w:after="0"/>
              <w:rPr>
                <w:sz w:val="17"/>
                <w:szCs w:val="17"/>
                <w:color w:val="auto"/>
              </w:rPr>
            </w:pPr>
          </w:p>
        </w:tc>
        <w:tc>
          <w:tcPr>
            <w:tcW w:w="1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(553,065 )</w:t>
            </w:r>
          </w:p>
        </w:tc>
        <w:tc>
          <w:tcPr>
            <w:tcW w:w="48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(713,880 )</w:t>
            </w: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(benefit) expense</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(168 )</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1,063</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7"/>
                <w:szCs w:val="17"/>
                <w:color w:val="auto"/>
              </w:rPr>
            </w:pPr>
          </w:p>
        </w:tc>
        <w:tc>
          <w:tcPr>
            <w:tcW w:w="15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(418,780 )</w:t>
            </w:r>
          </w:p>
        </w:tc>
        <w:tc>
          <w:tcPr>
            <w:tcW w:w="460" w:type="dxa"/>
            <w:vAlign w:val="bottom"/>
          </w:tcPr>
          <w:p>
            <w:pPr>
              <w:spacing w:after="0"/>
              <w:rPr>
                <w:sz w:val="17"/>
                <w:szCs w:val="17"/>
                <w:color w:val="auto"/>
              </w:rPr>
            </w:pPr>
          </w:p>
        </w:tc>
        <w:tc>
          <w:tcPr>
            <w:tcW w:w="16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(554,128 )</w:t>
            </w:r>
          </w:p>
        </w:tc>
        <w:tc>
          <w:tcPr>
            <w:tcW w:w="480" w:type="dxa"/>
            <w:vAlign w:val="bottom"/>
          </w:tcPr>
          <w:p>
            <w:pPr>
              <w:spacing w:after="0"/>
              <w:rPr>
                <w:sz w:val="17"/>
                <w:szCs w:val="17"/>
                <w:color w:val="auto"/>
              </w:rPr>
            </w:pPr>
          </w:p>
        </w:tc>
        <w:tc>
          <w:tcPr>
            <w:tcW w:w="15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(715,075 )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(losses) gains on investments, net of tax</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(23 )</w:t>
            </w:r>
          </w:p>
        </w:tc>
        <w:tc>
          <w:tcPr>
            <w:tcW w:w="4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(47 )</w:t>
            </w:r>
          </w:p>
        </w:tc>
        <w:tc>
          <w:tcPr>
            <w:tcW w:w="4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(loss) income</w:t>
            </w:r>
          </w:p>
        </w:tc>
        <w:tc>
          <w:tcPr>
            <w:tcW w:w="400" w:type="dxa"/>
            <w:vAlign w:val="bottom"/>
          </w:tcPr>
          <w:p>
            <w:pPr>
              <w:spacing w:after="0"/>
              <w:rPr>
                <w:sz w:val="17"/>
                <w:szCs w:val="17"/>
                <w:color w:val="auto"/>
              </w:rPr>
            </w:pPr>
          </w:p>
        </w:tc>
        <w:tc>
          <w:tcPr>
            <w:tcW w:w="15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(23 )</w:t>
            </w:r>
          </w:p>
        </w:tc>
        <w:tc>
          <w:tcPr>
            <w:tcW w:w="460" w:type="dxa"/>
            <w:vAlign w:val="bottom"/>
          </w:tcPr>
          <w:p>
            <w:pPr>
              <w:spacing w:after="0"/>
              <w:rPr>
                <w:sz w:val="17"/>
                <w:szCs w:val="17"/>
                <w:color w:val="auto"/>
              </w:rPr>
            </w:pPr>
          </w:p>
        </w:tc>
        <w:tc>
          <w:tcPr>
            <w:tcW w:w="16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(47 )</w:t>
            </w:r>
          </w:p>
        </w:tc>
        <w:tc>
          <w:tcPr>
            <w:tcW w:w="48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400" w:type="dxa"/>
            <w:vAlign w:val="bottom"/>
            <w:tcBorders>
              <w:top w:val="single" w:sz="8" w:color="auto"/>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(418,803</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5"/>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(554,175</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(714,926</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 basic and diluted</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(5.15 )</w:t>
            </w:r>
          </w:p>
        </w:tc>
        <w:tc>
          <w:tcPr>
            <w:tcW w:w="460" w:type="dxa"/>
            <w:vAlign w:val="bottom"/>
            <w:shd w:val="clear" w:color="auto" w:fill="CFF0FC"/>
          </w:tcPr>
          <w:p>
            <w:pPr>
              <w:jc w:val="right"/>
              <w:ind w:right="275"/>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(7.11 )</w:t>
            </w: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(9.71 )</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 average number of shares of common stock used</w:t>
            </w:r>
          </w:p>
        </w:tc>
        <w:tc>
          <w:tcPr>
            <w:tcW w:w="4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81,262</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77,956</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73,615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 computing basic and diluted net loss per share</w:t>
            </w:r>
          </w:p>
        </w:tc>
        <w:tc>
          <w:tcPr>
            <w:tcW w:w="40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-4102735</wp:posOffset>
            </wp:positionV>
            <wp:extent cx="603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-4102735</wp:posOffset>
            </wp:positionV>
            <wp:extent cx="6032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-4102735</wp:posOffset>
            </wp:positionV>
            <wp:extent cx="5969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-2790825</wp:posOffset>
            </wp:positionV>
            <wp:extent cx="603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-2790825</wp:posOffset>
            </wp:positionV>
            <wp:extent cx="6032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-2790825</wp:posOffset>
            </wp:positionV>
            <wp:extent cx="5969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-2002155</wp:posOffset>
            </wp:positionV>
            <wp:extent cx="6032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-2002155</wp:posOffset>
            </wp:positionV>
            <wp:extent cx="603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-2002155</wp:posOffset>
            </wp:positionV>
            <wp:extent cx="5969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-1470660</wp:posOffset>
            </wp:positionV>
            <wp:extent cx="603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-1470660</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-1470660</wp:posOffset>
            </wp:positionV>
            <wp:extent cx="5969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-922020</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-922020</wp:posOffset>
            </wp:positionV>
            <wp:extent cx="603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-922020</wp:posOffset>
            </wp:positionV>
            <wp:extent cx="5969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-650875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-633730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-650875</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-633730</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-650875</wp:posOffset>
            </wp:positionV>
            <wp:extent cx="596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-633730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5"/>
                <w:szCs w:val="15"/>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486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69"/>
        </w:trPr>
        <w:tc>
          <w:tcPr>
            <w:tcW w:w="48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(Loss) Gain</w:t>
            </w:r>
          </w:p>
        </w:tc>
        <w:tc>
          <w:tcPr>
            <w:tcW w:w="180" w:type="dxa"/>
            <w:vAlign w:val="bottom"/>
          </w:tcPr>
          <w:p>
            <w:pPr>
              <w:spacing w:after="0"/>
              <w:rPr>
                <w:sz w:val="14"/>
                <w:szCs w:val="14"/>
                <w:color w:val="auto"/>
              </w:rPr>
            </w:pPr>
          </w:p>
        </w:tc>
        <w:tc>
          <w:tcPr>
            <w:tcW w:w="9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Equity</w:t>
            </w:r>
          </w:p>
        </w:tc>
      </w:tr>
      <w:tr>
        <w:trPr>
          <w:trHeight w:val="169"/>
        </w:trPr>
        <w:tc>
          <w:tcPr>
            <w:tcW w:w="48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BALANCE AT DECEMBER 31, 2018</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71,072</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2,611,294</w:t>
            </w: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(99</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(1,578,926</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1,032,276</w:t>
            </w:r>
          </w:p>
        </w:tc>
      </w:tr>
      <w:tr>
        <w:trPr>
          <w:trHeight w:val="143"/>
        </w:trPr>
        <w:tc>
          <w:tcPr>
            <w:tcW w:w="4860" w:type="dxa"/>
            <w:vAlign w:val="bottom"/>
          </w:tcPr>
          <w:p>
            <w:pPr>
              <w:ind w:left="380"/>
              <w:spacing w:after="0" w:line="143" w:lineRule="exact"/>
              <w:rPr>
                <w:sz w:val="20"/>
                <w:szCs w:val="20"/>
                <w:color w:val="auto"/>
              </w:rPr>
            </w:pPr>
            <w:r>
              <w:rPr>
                <w:rFonts w:ascii="Arial" w:cs="Arial" w:eastAsia="Arial" w:hAnsi="Arial"/>
                <w:sz w:val="14"/>
                <w:szCs w:val="14"/>
                <w:color w:val="auto"/>
              </w:rPr>
              <w:t>Exercise of options and stock appreciation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860" w:type="dxa"/>
            <w:vAlign w:val="bottom"/>
          </w:tcPr>
          <w:p>
            <w:pPr>
              <w:ind w:left="480"/>
              <w:spacing w:after="0"/>
              <w:rPr>
                <w:sz w:val="20"/>
                <w:szCs w:val="20"/>
                <w:color w:val="auto"/>
              </w:rPr>
            </w:pPr>
            <w:r>
              <w:rPr>
                <w:rFonts w:ascii="Arial" w:cs="Arial" w:eastAsia="Arial" w:hAnsi="Arial"/>
                <w:sz w:val="14"/>
                <w:szCs w:val="14"/>
                <w:color w:val="auto"/>
              </w:rPr>
              <w:t>rights for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1,125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31,522</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Grant of restricted stock awards and vest</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of restricted stock units, net of cancellations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4860" w:type="dxa"/>
            <w:vAlign w:val="bottom"/>
          </w:tcPr>
          <w:p>
            <w:pPr>
              <w:ind w:left="380"/>
              <w:spacing w:after="0"/>
              <w:rPr>
                <w:sz w:val="20"/>
                <w:szCs w:val="20"/>
                <w:color w:val="auto"/>
              </w:rPr>
            </w:pPr>
            <w:r>
              <w:rPr>
                <w:rFonts w:ascii="Arial" w:cs="Arial" w:eastAsia="Arial" w:hAnsi="Arial"/>
                <w:sz w:val="14"/>
                <w:szCs w:val="14"/>
                <w:color w:val="auto"/>
              </w:rPr>
              <w:t>Shares withheld for taxes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(9,135 )</w:t>
            </w: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(9,135 )</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Issuance of common stock for cash, net of</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offering costs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365,353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365,354</w:t>
            </w:r>
          </w:p>
        </w:tc>
      </w:tr>
      <w:tr>
        <w:trPr>
          <w:trHeight w:val="143"/>
        </w:trPr>
        <w:tc>
          <w:tcPr>
            <w:tcW w:w="4860" w:type="dxa"/>
            <w:vAlign w:val="bottom"/>
          </w:tcPr>
          <w:p>
            <w:pPr>
              <w:ind w:left="380"/>
              <w:spacing w:after="0" w:line="143" w:lineRule="exact"/>
              <w:rPr>
                <w:sz w:val="20"/>
                <w:szCs w:val="20"/>
                <w:color w:val="auto"/>
              </w:rPr>
            </w:pPr>
            <w:r>
              <w:rPr>
                <w:rFonts w:ascii="Arial" w:cs="Arial" w:eastAsia="Arial" w:hAnsi="Arial"/>
                <w:sz w:val="14"/>
                <w:szCs w:val="14"/>
                <w:color w:val="auto"/>
              </w:rPr>
              <w:t>Issuance of common stock for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860" w:type="dxa"/>
            <w:vAlign w:val="bottom"/>
          </w:tcPr>
          <w:p>
            <w:pPr>
              <w:ind w:left="480"/>
              <w:spacing w:after="0"/>
              <w:rPr>
                <w:sz w:val="20"/>
                <w:szCs w:val="20"/>
                <w:color w:val="auto"/>
              </w:rPr>
            </w:pPr>
            <w:r>
              <w:rPr>
                <w:rFonts w:ascii="Arial" w:cs="Arial" w:eastAsia="Arial" w:hAnsi="Arial"/>
                <w:sz w:val="14"/>
                <w:szCs w:val="14"/>
                <w:color w:val="auto"/>
              </w:rPr>
              <w:t>collaboration agreement</w:t>
            </w:r>
          </w:p>
        </w:tc>
        <w:tc>
          <w:tcPr>
            <w:tcW w:w="780" w:type="dxa"/>
            <w:vAlign w:val="bottom"/>
          </w:tcPr>
          <w:p>
            <w:pPr>
              <w:jc w:val="right"/>
              <w:spacing w:after="0"/>
              <w:rPr>
                <w:sz w:val="20"/>
                <w:szCs w:val="20"/>
                <w:color w:val="auto"/>
              </w:rPr>
            </w:pPr>
            <w:r>
              <w:rPr>
                <w:rFonts w:ascii="Arial" w:cs="Arial" w:eastAsia="Arial" w:hAnsi="Arial"/>
                <w:sz w:val="14"/>
                <w:szCs w:val="14"/>
                <w:color w:val="auto"/>
              </w:rPr>
              <w:t>302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29,415</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Issuance of common stock under employee</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stock purchase plan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5,079</w:t>
            </w:r>
          </w:p>
        </w:tc>
      </w:tr>
      <w:tr>
        <w:trPr>
          <w:trHeight w:val="176"/>
        </w:trPr>
        <w:tc>
          <w:tcPr>
            <w:tcW w:w="48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78,602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78,602</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Unrealized gains from available-for-sale</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securities, net of tax</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149</w:t>
            </w:r>
          </w:p>
        </w:tc>
      </w:tr>
      <w:tr>
        <w:trPr>
          <w:trHeight w:val="176"/>
        </w:trPr>
        <w:tc>
          <w:tcPr>
            <w:tcW w:w="4860" w:type="dxa"/>
            <w:vAlign w:val="bottom"/>
          </w:tcPr>
          <w:p>
            <w:pPr>
              <w:ind w:left="38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(715,075 )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(715,075 )</w:t>
            </w:r>
          </w:p>
        </w:tc>
      </w:tr>
      <w:tr>
        <w:trPr>
          <w:trHeight w:val="169"/>
        </w:trPr>
        <w:tc>
          <w:tcPr>
            <w:tcW w:w="4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b w:val="1"/>
                <w:bCs w:val="1"/>
                <w:color w:val="auto"/>
              </w:rPr>
              <w:t>BALANCE AT DECEMBER 31, 2019</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75,185</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3,112,130</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50</w:t>
            </w: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(2,294,001</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84"/>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818,187</w:t>
            </w:r>
          </w:p>
        </w:tc>
      </w:tr>
      <w:tr>
        <w:trPr>
          <w:trHeight w:val="169"/>
        </w:trPr>
        <w:tc>
          <w:tcPr>
            <w:tcW w:w="4860" w:type="dxa"/>
            <w:vAlign w:val="bottom"/>
          </w:tcPr>
          <w:p>
            <w:pPr>
              <w:ind w:left="380"/>
              <w:spacing w:after="0"/>
              <w:rPr>
                <w:sz w:val="20"/>
                <w:szCs w:val="20"/>
                <w:color w:val="auto"/>
              </w:rPr>
            </w:pPr>
            <w:r>
              <w:rPr>
                <w:rFonts w:ascii="Arial" w:cs="Arial" w:eastAsia="Arial" w:hAnsi="Arial"/>
                <w:sz w:val="14"/>
                <w:szCs w:val="14"/>
                <w:color w:val="auto"/>
              </w:rPr>
              <w:t>Exercise of options for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1,443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76,492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76,492</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Vest of restricted stock units/awards, net of</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forfeitures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4860" w:type="dxa"/>
            <w:vAlign w:val="bottom"/>
          </w:tcPr>
          <w:p>
            <w:pPr>
              <w:ind w:left="380"/>
              <w:spacing w:after="0"/>
              <w:rPr>
                <w:sz w:val="20"/>
                <w:szCs w:val="20"/>
                <w:color w:val="auto"/>
              </w:rPr>
            </w:pPr>
            <w:r>
              <w:rPr>
                <w:rFonts w:ascii="Arial" w:cs="Arial" w:eastAsia="Arial" w:hAnsi="Arial"/>
                <w:sz w:val="14"/>
                <w:szCs w:val="14"/>
                <w:color w:val="auto"/>
              </w:rPr>
              <w:t>Shares withheld for taxes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(6,333 )</w:t>
            </w: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(6,333 )</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Issuance of common stock to Roche, net of</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480"/>
              <w:spacing w:after="0"/>
              <w:rPr>
                <w:sz w:val="20"/>
                <w:szCs w:val="20"/>
                <w:color w:val="auto"/>
              </w:rPr>
            </w:pPr>
            <w:r>
              <w:rPr>
                <w:rFonts w:ascii="Arial" w:cs="Arial" w:eastAsia="Arial" w:hAnsi="Arial"/>
                <w:sz w:val="14"/>
                <w:szCs w:val="14"/>
                <w:color w:val="auto"/>
              </w:rPr>
              <w:t>issuance costs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312,053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312,053</w:t>
            </w:r>
          </w:p>
        </w:tc>
      </w:tr>
      <w:tr>
        <w:trPr>
          <w:trHeight w:val="143"/>
        </w:trPr>
        <w:tc>
          <w:tcPr>
            <w:tcW w:w="4860" w:type="dxa"/>
            <w:vAlign w:val="bottom"/>
          </w:tcPr>
          <w:p>
            <w:pPr>
              <w:ind w:left="380"/>
              <w:spacing w:after="0" w:line="143" w:lineRule="exact"/>
              <w:rPr>
                <w:sz w:val="20"/>
                <w:szCs w:val="20"/>
                <w:color w:val="auto"/>
              </w:rPr>
            </w:pPr>
            <w:r>
              <w:rPr>
                <w:rFonts w:ascii="Arial" w:cs="Arial" w:eastAsia="Arial" w:hAnsi="Arial"/>
                <w:sz w:val="14"/>
                <w:szCs w:val="14"/>
                <w:color w:val="auto"/>
              </w:rPr>
              <w:t>Issuance of common stock under employee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860" w:type="dxa"/>
            <w:vAlign w:val="bottom"/>
          </w:tcPr>
          <w:p>
            <w:pPr>
              <w:ind w:left="520"/>
              <w:spacing w:after="0"/>
              <w:rPr>
                <w:sz w:val="20"/>
                <w:szCs w:val="20"/>
                <w:color w:val="auto"/>
              </w:rPr>
            </w:pPr>
            <w:r>
              <w:rPr>
                <w:rFonts w:ascii="Arial" w:cs="Arial" w:eastAsia="Arial" w:hAnsi="Arial"/>
                <w:sz w:val="14"/>
                <w:szCs w:val="14"/>
                <w:color w:val="auto"/>
              </w:rPr>
              <w:t>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7,465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7,465</w:t>
            </w:r>
          </w:p>
        </w:tc>
      </w:tr>
      <w:tr>
        <w:trPr>
          <w:trHeight w:val="176"/>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108,070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108,070</w:t>
            </w:r>
          </w:p>
        </w:tc>
      </w:tr>
      <w:tr>
        <w:trPr>
          <w:trHeight w:val="143"/>
        </w:trPr>
        <w:tc>
          <w:tcPr>
            <w:tcW w:w="4860" w:type="dxa"/>
            <w:vAlign w:val="bottom"/>
          </w:tcPr>
          <w:p>
            <w:pPr>
              <w:ind w:left="380"/>
              <w:spacing w:after="0" w:line="143" w:lineRule="exact"/>
              <w:rPr>
                <w:sz w:val="20"/>
                <w:szCs w:val="20"/>
                <w:color w:val="auto"/>
              </w:rPr>
            </w:pPr>
            <w:r>
              <w:rPr>
                <w:rFonts w:ascii="Arial" w:cs="Arial" w:eastAsia="Arial" w:hAnsi="Arial"/>
                <w:sz w:val="14"/>
                <w:szCs w:val="14"/>
                <w:color w:val="auto"/>
              </w:rPr>
              <w:t>Unrealized losses from available-for-sale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860" w:type="dxa"/>
            <w:vAlign w:val="bottom"/>
          </w:tcPr>
          <w:p>
            <w:pPr>
              <w:ind w:left="520"/>
              <w:spacing w:after="0"/>
              <w:rPr>
                <w:sz w:val="20"/>
                <w:szCs w:val="20"/>
                <w:color w:val="auto"/>
              </w:rPr>
            </w:pPr>
            <w:r>
              <w:rPr>
                <w:rFonts w:ascii="Arial" w:cs="Arial" w:eastAsia="Arial" w:hAnsi="Arial"/>
                <w:sz w:val="14"/>
                <w:szCs w:val="14"/>
                <w:color w:val="auto"/>
              </w:rPr>
              <w:t>securities, net of tax</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176"/>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(554,128 )</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(554,128 )</w:t>
            </w:r>
          </w:p>
        </w:tc>
      </w:tr>
      <w:tr>
        <w:trPr>
          <w:trHeight w:val="20"/>
        </w:trPr>
        <w:tc>
          <w:tcPr>
            <w:tcW w:w="48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4860" w:type="dxa"/>
            <w:vAlign w:val="bottom"/>
          </w:tcPr>
          <w:p>
            <w:pPr>
              <w:ind w:left="120"/>
              <w:spacing w:after="0"/>
              <w:rPr>
                <w:sz w:val="20"/>
                <w:szCs w:val="20"/>
                <w:color w:val="auto"/>
              </w:rPr>
            </w:pPr>
            <w:r>
              <w:rPr>
                <w:rFonts w:ascii="Arial" w:cs="Arial" w:eastAsia="Arial" w:hAnsi="Arial"/>
                <w:sz w:val="14"/>
                <w:szCs w:val="14"/>
                <w:b w:val="1"/>
                <w:bCs w:val="1"/>
                <w:color w:val="auto"/>
              </w:rPr>
              <w:t>BALANCE AT DECEMBER 31, 2020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79,374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3,609,877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(2,848,129 )</w:t>
            </w:r>
          </w:p>
        </w:tc>
        <w:tc>
          <w:tcPr>
            <w:tcW w:w="1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761,759</w:t>
            </w:r>
          </w:p>
        </w:tc>
      </w:tr>
      <w:tr>
        <w:trPr>
          <w:trHeight w:val="137"/>
        </w:trPr>
        <w:tc>
          <w:tcPr>
            <w:tcW w:w="4860" w:type="dxa"/>
            <w:vAlign w:val="bottom"/>
            <w:shd w:val="clear" w:color="auto" w:fill="CFF0FC"/>
          </w:tcPr>
          <w:p>
            <w:pPr>
              <w:ind w:left="380"/>
              <w:spacing w:after="0" w:line="137" w:lineRule="exact"/>
              <w:rPr>
                <w:sz w:val="20"/>
                <w:szCs w:val="20"/>
                <w:color w:val="auto"/>
              </w:rPr>
            </w:pPr>
            <w:r>
              <w:rPr>
                <w:rFonts w:ascii="Arial" w:cs="Arial" w:eastAsia="Arial" w:hAnsi="Arial"/>
                <w:sz w:val="14"/>
                <w:szCs w:val="14"/>
                <w:color w:val="auto"/>
              </w:rPr>
              <w:t>Cumulative effect of accounting change to</w:t>
            </w: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right w:val="single" w:sz="8" w:color="CFF0FC"/>
            </w:tcBorders>
            <w:shd w:val="clear" w:color="auto" w:fill="CFF0FC"/>
          </w:tcPr>
          <w:p>
            <w:pPr>
              <w:spacing w:after="0"/>
              <w:rPr>
                <w:sz w:val="11"/>
                <w:szCs w:val="11"/>
                <w:color w:val="auto"/>
              </w:rPr>
            </w:pPr>
          </w:p>
        </w:tc>
      </w:tr>
      <w:tr>
        <w:trPr>
          <w:trHeight w:val="181"/>
        </w:trPr>
        <w:tc>
          <w:tcPr>
            <w:tcW w:w="48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adopt ASU 2020-06</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(156,953 )</w:t>
            </w: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60,161</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(96,792 )</w:t>
            </w:r>
          </w:p>
        </w:tc>
      </w:tr>
      <w:tr>
        <w:trPr>
          <w:trHeight w:val="175"/>
        </w:trPr>
        <w:tc>
          <w:tcPr>
            <w:tcW w:w="4860" w:type="dxa"/>
            <w:vAlign w:val="bottom"/>
          </w:tcPr>
          <w:p>
            <w:pPr>
              <w:ind w:left="380"/>
              <w:spacing w:after="0"/>
              <w:rPr>
                <w:sz w:val="20"/>
                <w:szCs w:val="20"/>
                <w:color w:val="auto"/>
              </w:rPr>
            </w:pPr>
            <w:r>
              <w:rPr>
                <w:rFonts w:ascii="Arial" w:cs="Arial" w:eastAsia="Arial" w:hAnsi="Arial"/>
                <w:sz w:val="14"/>
                <w:szCs w:val="14"/>
                <w:color w:val="auto"/>
              </w:rPr>
              <w:t>Exercise of options for 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283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12,963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12,963</w:t>
            </w:r>
          </w:p>
        </w:tc>
      </w:tr>
      <w:tr>
        <w:trPr>
          <w:trHeight w:val="175"/>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Vest of restricted stock units/awards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4860" w:type="dxa"/>
            <w:vAlign w:val="bottom"/>
          </w:tcPr>
          <w:p>
            <w:pPr>
              <w:ind w:left="380"/>
              <w:spacing w:after="0"/>
              <w:rPr>
                <w:sz w:val="20"/>
                <w:szCs w:val="20"/>
                <w:color w:val="auto"/>
              </w:rPr>
            </w:pPr>
            <w:r>
              <w:rPr>
                <w:rFonts w:ascii="Arial" w:cs="Arial" w:eastAsia="Arial" w:hAnsi="Arial"/>
                <w:sz w:val="14"/>
                <w:szCs w:val="14"/>
                <w:color w:val="auto"/>
              </w:rPr>
              <w:t>Shares withheld for taxes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(1,432 )</w:t>
            </w: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(1,432 )</w:t>
            </w:r>
          </w:p>
        </w:tc>
      </w:tr>
      <w:tr>
        <w:trPr>
          <w:trHeight w:val="143"/>
        </w:trPr>
        <w:tc>
          <w:tcPr>
            <w:tcW w:w="486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Issuance of common stock for cash,</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r>
      <w:tr>
        <w:trPr>
          <w:trHeight w:val="181"/>
        </w:trPr>
        <w:tc>
          <w:tcPr>
            <w:tcW w:w="48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net of offering costs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548,531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548,532</w:t>
            </w:r>
          </w:p>
        </w:tc>
      </w:tr>
      <w:tr>
        <w:trPr>
          <w:trHeight w:val="143"/>
        </w:trPr>
        <w:tc>
          <w:tcPr>
            <w:tcW w:w="4860" w:type="dxa"/>
            <w:vAlign w:val="bottom"/>
          </w:tcPr>
          <w:p>
            <w:pPr>
              <w:ind w:left="380"/>
              <w:spacing w:after="0" w:line="143" w:lineRule="exact"/>
              <w:rPr>
                <w:sz w:val="20"/>
                <w:szCs w:val="20"/>
                <w:color w:val="auto"/>
              </w:rPr>
            </w:pPr>
            <w:r>
              <w:rPr>
                <w:rFonts w:ascii="Arial" w:cs="Arial" w:eastAsia="Arial" w:hAnsi="Arial"/>
                <w:sz w:val="14"/>
                <w:szCs w:val="14"/>
                <w:color w:val="auto"/>
              </w:rPr>
              <w:t>Issuance of common stock under employee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860" w:type="dxa"/>
            <w:vAlign w:val="bottom"/>
          </w:tcPr>
          <w:p>
            <w:pPr>
              <w:ind w:left="520"/>
              <w:spacing w:after="0"/>
              <w:rPr>
                <w:sz w:val="20"/>
                <w:szCs w:val="20"/>
                <w:color w:val="auto"/>
              </w:rPr>
            </w:pPr>
            <w:r>
              <w:rPr>
                <w:rFonts w:ascii="Arial" w:cs="Arial" w:eastAsia="Arial" w:hAnsi="Arial"/>
                <w:sz w:val="14"/>
                <w:szCs w:val="14"/>
                <w:color w:val="auto"/>
              </w:rPr>
              <w:t>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7,839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7,839</w:t>
            </w:r>
          </w:p>
        </w:tc>
      </w:tr>
      <w:tr>
        <w:trPr>
          <w:trHeight w:val="175"/>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113,943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113,943</w:t>
            </w:r>
          </w:p>
        </w:tc>
      </w:tr>
      <w:tr>
        <w:trPr>
          <w:trHeight w:val="143"/>
        </w:trPr>
        <w:tc>
          <w:tcPr>
            <w:tcW w:w="4860" w:type="dxa"/>
            <w:vAlign w:val="bottom"/>
          </w:tcPr>
          <w:p>
            <w:pPr>
              <w:ind w:left="380"/>
              <w:spacing w:after="0" w:line="143" w:lineRule="exact"/>
              <w:rPr>
                <w:sz w:val="20"/>
                <w:szCs w:val="20"/>
                <w:color w:val="auto"/>
              </w:rPr>
            </w:pPr>
            <w:r>
              <w:rPr>
                <w:rFonts w:ascii="Arial" w:cs="Arial" w:eastAsia="Arial" w:hAnsi="Arial"/>
                <w:sz w:val="14"/>
                <w:szCs w:val="14"/>
                <w:color w:val="auto"/>
              </w:rPr>
              <w:t>Unrealized losses from available-for-sale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1"/>
        </w:trPr>
        <w:tc>
          <w:tcPr>
            <w:tcW w:w="4860" w:type="dxa"/>
            <w:vAlign w:val="bottom"/>
          </w:tcPr>
          <w:p>
            <w:pPr>
              <w:ind w:left="520"/>
              <w:spacing w:after="0"/>
              <w:rPr>
                <w:sz w:val="20"/>
                <w:szCs w:val="20"/>
                <w:color w:val="auto"/>
              </w:rPr>
            </w:pPr>
            <w:r>
              <w:rPr>
                <w:rFonts w:ascii="Arial" w:cs="Arial" w:eastAsia="Arial" w:hAnsi="Arial"/>
                <w:sz w:val="14"/>
                <w:szCs w:val="14"/>
                <w:color w:val="auto"/>
              </w:rPr>
              <w:t>securities, net of tax</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(23 )</w:t>
            </w:r>
          </w:p>
        </w:tc>
      </w:tr>
      <w:tr>
        <w:trPr>
          <w:trHeight w:val="176"/>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(418,780 )</w:t>
            </w:r>
          </w:p>
        </w:tc>
        <w:tc>
          <w:tcPr>
            <w:tcW w:w="1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(418,780 )</w:t>
            </w:r>
          </w:p>
        </w:tc>
      </w:tr>
      <w:tr>
        <w:trPr>
          <w:trHeight w:val="20"/>
        </w:trPr>
        <w:tc>
          <w:tcPr>
            <w:tcW w:w="48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4860" w:type="dxa"/>
            <w:vAlign w:val="bottom"/>
          </w:tcPr>
          <w:p>
            <w:pPr>
              <w:ind w:left="120"/>
              <w:spacing w:after="0"/>
              <w:rPr>
                <w:sz w:val="20"/>
                <w:szCs w:val="20"/>
                <w:color w:val="auto"/>
              </w:rPr>
            </w:pPr>
            <w:r>
              <w:rPr>
                <w:rFonts w:ascii="Arial" w:cs="Arial" w:eastAsia="Arial" w:hAnsi="Arial"/>
                <w:sz w:val="14"/>
                <w:szCs w:val="14"/>
                <w:b w:val="1"/>
                <w:bCs w:val="1"/>
                <w:color w:val="auto"/>
              </w:rPr>
              <w:t>BALANCE AT DECEMBER 31, 2021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87,127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4,134,768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(3,206,748 )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928,009</w:t>
            </w:r>
          </w:p>
        </w:tc>
      </w:tr>
      <w:tr>
        <w:trPr>
          <w:trHeight w:val="20"/>
        </w:trPr>
        <w:tc>
          <w:tcPr>
            <w:tcW w:w="4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-2927985</wp:posOffset>
            </wp:positionV>
            <wp:extent cx="5143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-2927985</wp:posOffset>
            </wp:positionV>
            <wp:extent cx="2540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-2927985</wp:posOffset>
            </wp:positionV>
            <wp:extent cx="431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-2927985</wp:posOffset>
            </wp:positionV>
            <wp:extent cx="431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-2927985</wp:posOffset>
            </wp:positionV>
            <wp:extent cx="431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-2927985</wp:posOffset>
            </wp:positionV>
            <wp:extent cx="431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-1651000</wp:posOffset>
            </wp:positionV>
            <wp:extent cx="5143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-1651000</wp:posOffset>
            </wp:positionV>
            <wp:extent cx="254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-1651000</wp:posOffset>
            </wp:positionV>
            <wp:extent cx="431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-1651000</wp:posOffset>
            </wp:positionV>
            <wp:extent cx="431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-1651000</wp:posOffset>
            </wp:positionV>
            <wp:extent cx="431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-1651000</wp:posOffset>
            </wp:positionV>
            <wp:extent cx="431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-142240</wp:posOffset>
            </wp:positionV>
            <wp:extent cx="514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-142240</wp:posOffset>
            </wp:positionV>
            <wp:extent cx="2540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-142240</wp:posOffset>
            </wp:positionV>
            <wp:extent cx="431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-142240</wp:posOffset>
            </wp:positionV>
            <wp:extent cx="431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-142240</wp:posOffset>
            </wp:positionV>
            <wp:extent cx="431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3"/>
                <w:szCs w:val="13"/>
                <w:b w:val="1"/>
                <w:bCs w:val="1"/>
                <w:color w:val="auto"/>
                <w:w w:val="94"/>
              </w:rPr>
              <w:t>For the Year Ended December 31,</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operating activities:</w:t>
            </w: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Pr>
          <w:p>
            <w:pPr>
              <w:jc w:val="right"/>
              <w:ind w:right="913"/>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(418,780 )</w:t>
            </w:r>
          </w:p>
        </w:tc>
        <w:tc>
          <w:tcPr>
            <w:tcW w:w="52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113"/>
              <w:spacing w:after="0"/>
              <w:rPr>
                <w:sz w:val="20"/>
                <w:szCs w:val="20"/>
                <w:color w:val="auto"/>
              </w:rPr>
            </w:pPr>
            <w:r>
              <w:rPr>
                <w:rFonts w:ascii="Arial" w:cs="Arial" w:eastAsia="Arial" w:hAnsi="Arial"/>
                <w:sz w:val="13"/>
                <w:szCs w:val="13"/>
                <w:color w:val="auto"/>
              </w:rPr>
              <w:t>(554,128 )</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(715,075 )</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Adjustments to reconcile net loss to cash flows in operating activities:</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(Gain) loss on contingent consideration, net</w:t>
            </w:r>
          </w:p>
        </w:tc>
        <w:tc>
          <w:tcPr>
            <w:tcW w:w="10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(7,200 )</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45,000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Gain from sale of Priority Review Voucher, net of commission</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(102,000 )</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(108,069 )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26,911</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Reduction in the carrying amounts of the right of use assets</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12,828</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Non-cash interest expense</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25,454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21,444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Stock-based compensation</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113,943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108,070</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78,602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Impairment of equity investment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Acquired in-process research and development</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173,240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Non-cash up-front payment to StrideBio</w:t>
            </w:r>
          </w:p>
        </w:tc>
        <w:tc>
          <w:tcPr>
            <w:tcW w:w="10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29,415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(2,656 )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(7,755 )</w:t>
            </w: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Changes in operating assets and liabilities, net:</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increase in accounts receivable</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(51,650 )</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(10,461 )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(41,835 )</w:t>
            </w:r>
          </w:p>
        </w:tc>
        <w:tc>
          <w:tcPr>
            <w:tcW w:w="0" w:type="dxa"/>
            <w:vAlign w:val="bottom"/>
          </w:tcPr>
          <w:p>
            <w:pPr>
              <w:spacing w:after="0"/>
              <w:rPr>
                <w:sz w:val="1"/>
                <w:szCs w:val="1"/>
                <w:color w:val="auto"/>
              </w:rPr>
            </w:pPr>
          </w:p>
        </w:tc>
      </w:tr>
      <w:tr>
        <w:trPr>
          <w:trHeight w:val="162"/>
        </w:trPr>
        <w:tc>
          <w:tcPr>
            <w:tcW w:w="5520" w:type="dxa"/>
            <w:vAlign w:val="bottom"/>
          </w:tcPr>
          <w:p>
            <w:pPr>
              <w:ind w:left="560"/>
              <w:spacing w:after="0"/>
              <w:rPr>
                <w:sz w:val="20"/>
                <w:szCs w:val="20"/>
                <w:color w:val="auto"/>
              </w:rPr>
            </w:pPr>
            <w:r>
              <w:rPr>
                <w:rFonts w:ascii="Arial" w:cs="Arial" w:eastAsia="Arial" w:hAnsi="Arial"/>
                <w:sz w:val="13"/>
                <w:szCs w:val="13"/>
                <w:color w:val="auto"/>
              </w:rPr>
              <w:t>Net increase in inventory</w:t>
            </w:r>
          </w:p>
        </w:tc>
        <w:tc>
          <w:tcPr>
            <w:tcW w:w="10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(83,772 )</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113"/>
              <w:spacing w:after="0"/>
              <w:rPr>
                <w:sz w:val="20"/>
                <w:szCs w:val="20"/>
                <w:color w:val="auto"/>
              </w:rPr>
            </w:pPr>
            <w:r>
              <w:rPr>
                <w:rFonts w:ascii="Arial" w:cs="Arial" w:eastAsia="Arial" w:hAnsi="Arial"/>
                <w:sz w:val="13"/>
                <w:szCs w:val="13"/>
                <w:color w:val="auto"/>
              </w:rPr>
              <w:t>(60,582 )</w:t>
            </w:r>
          </w:p>
        </w:tc>
        <w:tc>
          <w:tcPr>
            <w:tcW w:w="4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(45,934 )</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decrease (increase) in other assets</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103,203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(166,328 )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(102,091 )</w:t>
            </w:r>
          </w:p>
        </w:tc>
        <w:tc>
          <w:tcPr>
            <w:tcW w:w="0" w:type="dxa"/>
            <w:vAlign w:val="bottom"/>
          </w:tcPr>
          <w:p>
            <w:pPr>
              <w:spacing w:after="0"/>
              <w:rPr>
                <w:sz w:val="1"/>
                <w:szCs w:val="1"/>
                <w:color w:val="auto"/>
              </w:rPr>
            </w:pPr>
          </w:p>
        </w:tc>
      </w:tr>
      <w:tr>
        <w:trPr>
          <w:trHeight w:val="162"/>
        </w:trPr>
        <w:tc>
          <w:tcPr>
            <w:tcW w:w="5520" w:type="dxa"/>
            <w:vAlign w:val="bottom"/>
          </w:tcPr>
          <w:p>
            <w:pPr>
              <w:ind w:left="560"/>
              <w:spacing w:after="0"/>
              <w:rPr>
                <w:sz w:val="20"/>
                <w:szCs w:val="20"/>
                <w:color w:val="auto"/>
              </w:rPr>
            </w:pPr>
            <w:r>
              <w:rPr>
                <w:rFonts w:ascii="Arial" w:cs="Arial" w:eastAsia="Arial" w:hAnsi="Arial"/>
                <w:sz w:val="13"/>
                <w:szCs w:val="13"/>
                <w:color w:val="auto"/>
              </w:rPr>
              <w:t>Net (decrease) increase in deferred revenue</w:t>
            </w:r>
          </w:p>
        </w:tc>
        <w:tc>
          <w:tcPr>
            <w:tcW w:w="10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(89,244 )</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749,429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5520" w:type="dxa"/>
            <w:vAlign w:val="bottom"/>
            <w:shd w:val="clear" w:color="auto" w:fill="CFF0FC"/>
          </w:tcPr>
          <w:p>
            <w:pPr>
              <w:ind w:left="560"/>
              <w:spacing w:after="0" w:line="124" w:lineRule="exact"/>
              <w:rPr>
                <w:sz w:val="20"/>
                <w:szCs w:val="20"/>
                <w:color w:val="auto"/>
              </w:rPr>
            </w:pPr>
            <w:r>
              <w:rPr>
                <w:rFonts w:ascii="Arial" w:cs="Arial" w:eastAsia="Arial" w:hAnsi="Arial"/>
                <w:sz w:val="13"/>
                <w:szCs w:val="13"/>
                <w:color w:val="auto"/>
              </w:rPr>
              <w:t>Net increase in accounts payable, accrued expenses,</w:t>
            </w:r>
          </w:p>
        </w:tc>
        <w:tc>
          <w:tcPr>
            <w:tcW w:w="10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23,297</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41,998</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122,979</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52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3"/>
                <w:szCs w:val="13"/>
                <w:color w:val="auto"/>
              </w:rPr>
              <w:t>lease liabilities and other liabilities</w:t>
            </w:r>
          </w:p>
        </w:tc>
        <w:tc>
          <w:tcPr>
            <w:tcW w:w="10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20"/>
              <w:spacing w:after="0"/>
              <w:rPr>
                <w:sz w:val="20"/>
                <w:szCs w:val="20"/>
                <w:color w:val="auto"/>
              </w:rPr>
            </w:pPr>
            <w:r>
              <w:rPr>
                <w:rFonts w:ascii="Arial" w:cs="Arial" w:eastAsia="Arial" w:hAnsi="Arial"/>
                <w:sz w:val="13"/>
                <w:szCs w:val="13"/>
                <w:color w:val="auto"/>
              </w:rPr>
              <w:t>Net cash (used in) provided by operating activities</w:t>
            </w:r>
          </w:p>
        </w:tc>
        <w:tc>
          <w:tcPr>
            <w:tcW w:w="108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(443,172 )</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107,466</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(456,463 )</w:t>
            </w: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 of property and equipment</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(38,490 )</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(82,202 )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(59,631 )</w:t>
            </w: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Proceeds from sale of Priority Review Voucher, net of commission</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108,069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 of available-for-sale securities</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(29,988 )</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(1,333,568 )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(1,193,632 )</w:t>
            </w: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Maturity and sales of available-for-sale securities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466,000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1,189,480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1,715,626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Acquisition of Myonexus Therapeutics, Inc., net of cash acquired</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(172,556 )</w:t>
            </w: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Other</w:t>
            </w:r>
          </w:p>
        </w:tc>
        <w:tc>
          <w:tcPr>
            <w:tcW w:w="10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(4,109 )</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113"/>
              <w:spacing w:after="0"/>
              <w:rPr>
                <w:sz w:val="20"/>
                <w:szCs w:val="20"/>
                <w:color w:val="auto"/>
              </w:rPr>
            </w:pPr>
            <w:r>
              <w:rPr>
                <w:rFonts w:ascii="Arial" w:cs="Arial" w:eastAsia="Arial" w:hAnsi="Arial"/>
                <w:sz w:val="13"/>
                <w:szCs w:val="13"/>
                <w:color w:val="auto"/>
              </w:rPr>
              <w:t>(3,500 )</w:t>
            </w:r>
          </w:p>
        </w:tc>
        <w:tc>
          <w:tcPr>
            <w:tcW w:w="4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(3,082 )</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495,413</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(121,721</w:t>
            </w:r>
          </w:p>
        </w:tc>
        <w:tc>
          <w:tcPr>
            <w:tcW w:w="24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3"/>
                <w:szCs w:val="13"/>
                <w:color w:val="auto"/>
                <w:w w:val="91"/>
              </w:rPr>
              <w:t>)</w:t>
            </w:r>
          </w:p>
        </w:tc>
        <w:tc>
          <w:tcPr>
            <w:tcW w:w="40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286,725</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financing activities:</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Proceeds from sales of common stock, net of offering costs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548,532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365,354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5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Proceeds from exercise of stock options and purchase of stock under the</w:t>
            </w:r>
          </w:p>
        </w:tc>
        <w:tc>
          <w:tcPr>
            <w:tcW w:w="10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20,802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83,957</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36,601</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Employee Stock Purchase Program</w:t>
            </w:r>
          </w:p>
        </w:tc>
        <w:tc>
          <w:tcPr>
            <w:tcW w:w="108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Taxes paid related to net share settlement of equity awards</w:t>
            </w:r>
          </w:p>
        </w:tc>
        <w:tc>
          <w:tcPr>
            <w:tcW w:w="10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(7,765 )</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right"/>
              <w:ind w:right="113"/>
              <w:spacing w:after="0"/>
              <w:rPr>
                <w:sz w:val="20"/>
                <w:szCs w:val="20"/>
                <w:color w:val="auto"/>
              </w:rPr>
            </w:pPr>
            <w:r>
              <w:rPr>
                <w:rFonts w:ascii="Arial" w:cs="Arial" w:eastAsia="Arial" w:hAnsi="Arial"/>
                <w:sz w:val="13"/>
                <w:szCs w:val="13"/>
                <w:color w:val="auto"/>
              </w:rPr>
              <w:t>(4,798 )</w:t>
            </w:r>
          </w:p>
        </w:tc>
        <w:tc>
          <w:tcPr>
            <w:tcW w:w="4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(4,337 )</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issuance of common stock to Roche, net of offering costs</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312,053</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Proceeds from term loans</w:t>
            </w:r>
          </w:p>
        </w:tc>
        <w:tc>
          <w:tcPr>
            <w:tcW w:w="10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291,150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245,625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Debt issuance costs</w:t>
            </w: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(39 )</w:t>
            </w:r>
          </w:p>
        </w:tc>
        <w:tc>
          <w:tcPr>
            <w:tcW w:w="4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(689 )</w:t>
            </w:r>
          </w:p>
        </w:tc>
        <w:tc>
          <w:tcPr>
            <w:tcW w:w="0" w:type="dxa"/>
            <w:vAlign w:val="bottom"/>
          </w:tcPr>
          <w:p>
            <w:pPr>
              <w:spacing w:after="0"/>
              <w:rPr>
                <w:sz w:val="1"/>
                <w:szCs w:val="1"/>
                <w:color w:val="auto"/>
              </w:rPr>
            </w:pPr>
          </w:p>
        </w:tc>
      </w:tr>
      <w:tr>
        <w:trPr>
          <w:trHeight w:val="155"/>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0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561,569</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682,323</w:t>
            </w:r>
          </w:p>
        </w:tc>
        <w:tc>
          <w:tcPr>
            <w:tcW w:w="240" w:type="dxa"/>
            <w:vAlign w:val="bottom"/>
            <w:tcBorders>
              <w:top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642,554</w:t>
            </w: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Increase in cash and cash equivalents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613,810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668,068</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472,816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Beginning of year</w:t>
            </w:r>
          </w:p>
        </w:tc>
        <w:tc>
          <w:tcPr>
            <w:tcW w:w="10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1,511,713</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843,645</w:t>
            </w:r>
          </w:p>
        </w:tc>
        <w:tc>
          <w:tcPr>
            <w:tcW w:w="2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370,829</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Pr>
          <w:p>
            <w:pPr>
              <w:ind w:left="200"/>
              <w:spacing w:after="0"/>
              <w:rPr>
                <w:sz w:val="20"/>
                <w:szCs w:val="20"/>
                <w:color w:val="auto"/>
              </w:rPr>
            </w:pPr>
            <w:r>
              <w:rPr>
                <w:rFonts w:ascii="Arial" w:cs="Arial" w:eastAsia="Arial" w:hAnsi="Arial"/>
                <w:sz w:val="13"/>
                <w:szCs w:val="13"/>
                <w:color w:val="auto"/>
              </w:rPr>
              <w:t>End of year</w:t>
            </w:r>
          </w:p>
        </w:tc>
        <w:tc>
          <w:tcPr>
            <w:tcW w:w="1080" w:type="dxa"/>
            <w:vAlign w:val="bottom"/>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2,125,523</w:t>
            </w:r>
          </w:p>
        </w:tc>
        <w:tc>
          <w:tcPr>
            <w:tcW w:w="100" w:type="dxa"/>
            <w:vAlign w:val="bottom"/>
          </w:tcPr>
          <w:p>
            <w:pPr>
              <w:spacing w:after="0"/>
              <w:rPr>
                <w:sz w:val="13"/>
                <w:szCs w:val="13"/>
                <w:color w:val="auto"/>
              </w:rPr>
            </w:pPr>
          </w:p>
        </w:tc>
        <w:tc>
          <w:tcPr>
            <w:tcW w:w="52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1,511,713</w:t>
            </w:r>
          </w:p>
        </w:tc>
        <w:tc>
          <w:tcPr>
            <w:tcW w:w="240" w:type="dxa"/>
            <w:vAlign w:val="bottom"/>
          </w:tcPr>
          <w:p>
            <w:pPr>
              <w:spacing w:after="0"/>
              <w:rPr>
                <w:sz w:val="13"/>
                <w:szCs w:val="13"/>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843,645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Reconciliation of cash, cash equivalents and restricted cash:</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080" w:type="dxa"/>
            <w:vAlign w:val="bottom"/>
            <w:shd w:val="clear" w:color="auto" w:fill="CFF0FC"/>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2,115,869</w:t>
            </w:r>
          </w:p>
        </w:tc>
        <w:tc>
          <w:tcPr>
            <w:tcW w:w="1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1,502,648</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835,080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Restricted cash in other assets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9,065</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1080" w:type="dxa"/>
            <w:vAlign w:val="bottom"/>
            <w:shd w:val="clear" w:color="auto" w:fill="CFF0FC"/>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2,125,523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3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1,511,713</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843,645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Cash paid during the period for interest</w:t>
            </w:r>
          </w:p>
        </w:tc>
        <w:tc>
          <w:tcPr>
            <w:tcW w:w="1080" w:type="dxa"/>
            <w:vAlign w:val="bottom"/>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55,949</w:t>
            </w:r>
          </w:p>
        </w:tc>
        <w:tc>
          <w:tcPr>
            <w:tcW w:w="100" w:type="dxa"/>
            <w:vAlign w:val="bottom"/>
          </w:tcPr>
          <w:p>
            <w:pPr>
              <w:spacing w:after="0"/>
              <w:rPr>
                <w:sz w:val="14"/>
                <w:szCs w:val="14"/>
                <w:color w:val="auto"/>
              </w:rPr>
            </w:pPr>
          </w:p>
        </w:tc>
        <w:tc>
          <w:tcPr>
            <w:tcW w:w="52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34,418</w:t>
            </w:r>
          </w:p>
        </w:tc>
        <w:tc>
          <w:tcPr>
            <w:tcW w:w="240" w:type="dxa"/>
            <w:vAlign w:val="bottom"/>
          </w:tcPr>
          <w:p>
            <w:pPr>
              <w:spacing w:after="0"/>
              <w:rPr>
                <w:sz w:val="14"/>
                <w:szCs w:val="14"/>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8,550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CECFC"/>
          </w:tcPr>
          <w:p>
            <w:pPr>
              <w:ind w:left="200"/>
              <w:spacing w:after="0"/>
              <w:rPr>
                <w:sz w:val="20"/>
                <w:szCs w:val="20"/>
                <w:color w:val="auto"/>
              </w:rPr>
            </w:pPr>
            <w:r>
              <w:rPr>
                <w:rFonts w:ascii="Arial" w:cs="Arial" w:eastAsia="Arial" w:hAnsi="Arial"/>
                <w:sz w:val="13"/>
                <w:szCs w:val="13"/>
                <w:color w:val="auto"/>
              </w:rPr>
              <w:t>Cash paid during the period for income taxes</w:t>
            </w:r>
          </w:p>
        </w:tc>
        <w:tc>
          <w:tcPr>
            <w:tcW w:w="1080" w:type="dxa"/>
            <w:vAlign w:val="bottom"/>
            <w:shd w:val="clear" w:color="auto" w:fill="CCECFC"/>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CFC"/>
          </w:tcPr>
          <w:p>
            <w:pPr>
              <w:jc w:val="right"/>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CFC"/>
          </w:tcPr>
          <w:p>
            <w:pPr>
              <w:spacing w:after="0"/>
              <w:rPr>
                <w:sz w:val="14"/>
                <w:szCs w:val="14"/>
                <w:color w:val="auto"/>
              </w:rPr>
            </w:pPr>
          </w:p>
        </w:tc>
        <w:tc>
          <w:tcPr>
            <w:tcW w:w="520" w:type="dxa"/>
            <w:vAlign w:val="bottom"/>
            <w:gridSpan w:val="2"/>
            <w:shd w:val="clear" w:color="auto" w:fill="CCECFC"/>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CFC"/>
          </w:tcPr>
          <w:p>
            <w:pPr>
              <w:jc w:val="right"/>
              <w:spacing w:after="0"/>
              <w:rPr>
                <w:sz w:val="20"/>
                <w:szCs w:val="20"/>
                <w:color w:val="auto"/>
              </w:rPr>
            </w:pPr>
            <w:r>
              <w:rPr>
                <w:rFonts w:ascii="Arial" w:cs="Arial" w:eastAsia="Arial" w:hAnsi="Arial"/>
                <w:sz w:val="13"/>
                <w:szCs w:val="13"/>
                <w:color w:val="auto"/>
              </w:rPr>
              <w:t>2,510</w:t>
            </w:r>
          </w:p>
        </w:tc>
        <w:tc>
          <w:tcPr>
            <w:tcW w:w="240" w:type="dxa"/>
            <w:vAlign w:val="bottom"/>
            <w:shd w:val="clear" w:color="auto" w:fill="CCECFC"/>
          </w:tcPr>
          <w:p>
            <w:pPr>
              <w:spacing w:after="0"/>
              <w:rPr>
                <w:sz w:val="14"/>
                <w:szCs w:val="14"/>
                <w:color w:val="auto"/>
              </w:rPr>
            </w:pPr>
          </w:p>
        </w:tc>
        <w:tc>
          <w:tcPr>
            <w:tcW w:w="400" w:type="dxa"/>
            <w:vAlign w:val="bottom"/>
            <w:shd w:val="clear" w:color="auto" w:fill="CCECFC"/>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CFC"/>
          </w:tcPr>
          <w:p>
            <w:pPr>
              <w:jc w:val="right"/>
              <w:spacing w:after="0"/>
              <w:rPr>
                <w:sz w:val="20"/>
                <w:szCs w:val="20"/>
                <w:color w:val="auto"/>
              </w:rPr>
            </w:pPr>
            <w:r>
              <w:rPr>
                <w:rFonts w:ascii="Arial" w:cs="Arial" w:eastAsia="Arial" w:hAnsi="Arial"/>
                <w:sz w:val="13"/>
                <w:szCs w:val="13"/>
                <w:color w:val="auto"/>
              </w:rPr>
              <w:t>933</w:t>
            </w:r>
          </w:p>
        </w:tc>
        <w:tc>
          <w:tcPr>
            <w:tcW w:w="60" w:type="dxa"/>
            <w:vAlign w:val="bottom"/>
            <w:shd w:val="clear" w:color="auto" w:fill="CCEC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rPr>
                <w:sz w:val="20"/>
                <w:szCs w:val="20"/>
                <w:color w:val="auto"/>
              </w:rPr>
            </w:pPr>
            <w:r>
              <w:rPr>
                <w:rFonts w:ascii="Arial" w:cs="Arial" w:eastAsia="Arial" w:hAnsi="Arial"/>
                <w:sz w:val="13"/>
                <w:szCs w:val="13"/>
                <w:color w:val="auto"/>
              </w:rPr>
              <w:t>Supplemental schedule of non-cash activities:</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CECFC"/>
          </w:tcPr>
          <w:p>
            <w:pPr>
              <w:ind w:left="200"/>
              <w:spacing w:after="0"/>
              <w:rPr>
                <w:sz w:val="20"/>
                <w:szCs w:val="20"/>
                <w:color w:val="auto"/>
              </w:rPr>
            </w:pPr>
            <w:r>
              <w:rPr>
                <w:rFonts w:ascii="Arial" w:cs="Arial" w:eastAsia="Arial" w:hAnsi="Arial"/>
                <w:sz w:val="13"/>
                <w:szCs w:val="13"/>
                <w:color w:val="auto"/>
              </w:rPr>
              <w:t>Lease liabilities arising from obtaining right of use assets</w:t>
            </w:r>
          </w:p>
        </w:tc>
        <w:tc>
          <w:tcPr>
            <w:tcW w:w="1080" w:type="dxa"/>
            <w:vAlign w:val="bottom"/>
            <w:shd w:val="clear" w:color="auto" w:fill="CCECFC"/>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CFC"/>
          </w:tcPr>
          <w:p>
            <w:pPr>
              <w:jc w:val="right"/>
              <w:spacing w:after="0"/>
              <w:rPr>
                <w:sz w:val="20"/>
                <w:szCs w:val="20"/>
                <w:color w:val="auto"/>
              </w:rPr>
            </w:pPr>
            <w:r>
              <w:rPr>
                <w:rFonts w:ascii="Arial" w:cs="Arial" w:eastAsia="Arial" w:hAnsi="Arial"/>
                <w:sz w:val="13"/>
                <w:szCs w:val="13"/>
                <w:color w:val="auto"/>
              </w:rPr>
              <w:t>13,225</w:t>
            </w:r>
          </w:p>
        </w:tc>
        <w:tc>
          <w:tcPr>
            <w:tcW w:w="100" w:type="dxa"/>
            <w:vAlign w:val="bottom"/>
            <w:shd w:val="clear" w:color="auto" w:fill="CCECFC"/>
          </w:tcPr>
          <w:p>
            <w:pPr>
              <w:spacing w:after="0"/>
              <w:rPr>
                <w:sz w:val="14"/>
                <w:szCs w:val="14"/>
                <w:color w:val="auto"/>
              </w:rPr>
            </w:pPr>
          </w:p>
        </w:tc>
        <w:tc>
          <w:tcPr>
            <w:tcW w:w="520" w:type="dxa"/>
            <w:vAlign w:val="bottom"/>
            <w:gridSpan w:val="2"/>
            <w:shd w:val="clear" w:color="auto" w:fill="CCECFC"/>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CFC"/>
          </w:tcPr>
          <w:p>
            <w:pPr>
              <w:jc w:val="right"/>
              <w:spacing w:after="0"/>
              <w:rPr>
                <w:sz w:val="20"/>
                <w:szCs w:val="20"/>
                <w:color w:val="auto"/>
              </w:rPr>
            </w:pPr>
            <w:r>
              <w:rPr>
                <w:rFonts w:ascii="Arial" w:cs="Arial" w:eastAsia="Arial" w:hAnsi="Arial"/>
                <w:sz w:val="13"/>
                <w:szCs w:val="13"/>
                <w:color w:val="auto"/>
              </w:rPr>
              <w:t>59,327</w:t>
            </w:r>
          </w:p>
        </w:tc>
        <w:tc>
          <w:tcPr>
            <w:tcW w:w="240" w:type="dxa"/>
            <w:vAlign w:val="bottom"/>
            <w:shd w:val="clear" w:color="auto" w:fill="CCECFC"/>
          </w:tcPr>
          <w:p>
            <w:pPr>
              <w:spacing w:after="0"/>
              <w:rPr>
                <w:sz w:val="14"/>
                <w:szCs w:val="14"/>
                <w:color w:val="auto"/>
              </w:rPr>
            </w:pPr>
          </w:p>
        </w:tc>
        <w:tc>
          <w:tcPr>
            <w:tcW w:w="400" w:type="dxa"/>
            <w:vAlign w:val="bottom"/>
            <w:shd w:val="clear" w:color="auto" w:fill="CCECFC"/>
          </w:tcPr>
          <w:p>
            <w:pPr>
              <w:jc w:val="right"/>
              <w:ind w:right="253"/>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C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Lease liabilities terminated</w:t>
            </w:r>
          </w:p>
        </w:tc>
        <w:tc>
          <w:tcPr>
            <w:tcW w:w="1080" w:type="dxa"/>
            <w:vAlign w:val="bottom"/>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40,133</w:t>
            </w:r>
          </w:p>
        </w:tc>
        <w:tc>
          <w:tcPr>
            <w:tcW w:w="100" w:type="dxa"/>
            <w:vAlign w:val="bottom"/>
          </w:tcPr>
          <w:p>
            <w:pPr>
              <w:spacing w:after="0"/>
              <w:rPr>
                <w:sz w:val="14"/>
                <w:szCs w:val="14"/>
                <w:color w:val="auto"/>
              </w:rPr>
            </w:pPr>
          </w:p>
        </w:tc>
        <w:tc>
          <w:tcPr>
            <w:tcW w:w="52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5520" w:type="dxa"/>
            <w:vAlign w:val="bottom"/>
            <w:shd w:val="clear" w:color="auto" w:fill="CCECFC"/>
          </w:tcPr>
          <w:p>
            <w:pPr>
              <w:ind w:left="200"/>
              <w:spacing w:after="0" w:line="124" w:lineRule="exact"/>
              <w:rPr>
                <w:sz w:val="20"/>
                <w:szCs w:val="20"/>
                <w:color w:val="auto"/>
              </w:rPr>
            </w:pPr>
            <w:r>
              <w:rPr>
                <w:rFonts w:ascii="Arial" w:cs="Arial" w:eastAsia="Arial" w:hAnsi="Arial"/>
                <w:sz w:val="13"/>
                <w:szCs w:val="13"/>
                <w:color w:val="auto"/>
              </w:rPr>
              <w:t>Intangible assets and property and equipment included in accounts payable and accrued</w:t>
            </w:r>
          </w:p>
        </w:tc>
        <w:tc>
          <w:tcPr>
            <w:tcW w:w="1080" w:type="dxa"/>
            <w:vAlign w:val="bottom"/>
            <w:vMerge w:val="restart"/>
            <w:shd w:val="clear" w:color="auto" w:fill="CCECFC"/>
          </w:tcPr>
          <w:p>
            <w:pPr>
              <w:jc w:val="right"/>
              <w:ind w:right="913"/>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CFC"/>
          </w:tcPr>
          <w:p>
            <w:pPr>
              <w:jc w:val="right"/>
              <w:spacing w:after="0"/>
              <w:rPr>
                <w:sz w:val="20"/>
                <w:szCs w:val="20"/>
                <w:color w:val="auto"/>
              </w:rPr>
            </w:pPr>
            <w:r>
              <w:rPr>
                <w:rFonts w:ascii="Arial" w:cs="Arial" w:eastAsia="Arial" w:hAnsi="Arial"/>
                <w:sz w:val="13"/>
                <w:szCs w:val="13"/>
                <w:color w:val="auto"/>
              </w:rPr>
              <w:t>4,162</w:t>
            </w:r>
          </w:p>
        </w:tc>
        <w:tc>
          <w:tcPr>
            <w:tcW w:w="100" w:type="dxa"/>
            <w:vAlign w:val="bottom"/>
            <w:shd w:val="clear" w:color="auto" w:fill="CCECFC"/>
          </w:tcPr>
          <w:p>
            <w:pPr>
              <w:spacing w:after="0"/>
              <w:rPr>
                <w:sz w:val="10"/>
                <w:szCs w:val="10"/>
                <w:color w:val="auto"/>
              </w:rPr>
            </w:pPr>
          </w:p>
        </w:tc>
        <w:tc>
          <w:tcPr>
            <w:tcW w:w="520" w:type="dxa"/>
            <w:vAlign w:val="bottom"/>
            <w:gridSpan w:val="2"/>
            <w:vMerge w:val="restart"/>
            <w:shd w:val="clear" w:color="auto" w:fill="CCECFC"/>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vMerge w:val="restart"/>
            <w:shd w:val="clear" w:color="auto" w:fill="CCECFC"/>
          </w:tcPr>
          <w:p>
            <w:pPr>
              <w:jc w:val="right"/>
              <w:spacing w:after="0"/>
              <w:rPr>
                <w:sz w:val="20"/>
                <w:szCs w:val="20"/>
                <w:color w:val="auto"/>
              </w:rPr>
            </w:pPr>
            <w:r>
              <w:rPr>
                <w:rFonts w:ascii="Arial" w:cs="Arial" w:eastAsia="Arial" w:hAnsi="Arial"/>
                <w:sz w:val="13"/>
                <w:szCs w:val="13"/>
                <w:color w:val="auto"/>
              </w:rPr>
              <w:t>5,151</w:t>
            </w:r>
          </w:p>
        </w:tc>
        <w:tc>
          <w:tcPr>
            <w:tcW w:w="240" w:type="dxa"/>
            <w:vAlign w:val="bottom"/>
            <w:shd w:val="clear" w:color="auto" w:fill="CCECFC"/>
          </w:tcPr>
          <w:p>
            <w:pPr>
              <w:spacing w:after="0"/>
              <w:rPr>
                <w:sz w:val="10"/>
                <w:szCs w:val="10"/>
                <w:color w:val="auto"/>
              </w:rPr>
            </w:pPr>
          </w:p>
        </w:tc>
        <w:tc>
          <w:tcPr>
            <w:tcW w:w="400" w:type="dxa"/>
            <w:vAlign w:val="bottom"/>
            <w:vMerge w:val="restart"/>
            <w:shd w:val="clear" w:color="auto" w:fill="CCECFC"/>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vMerge w:val="restart"/>
            <w:shd w:val="clear" w:color="auto" w:fill="CCECFC"/>
          </w:tcPr>
          <w:p>
            <w:pPr>
              <w:jc w:val="right"/>
              <w:spacing w:after="0"/>
              <w:rPr>
                <w:sz w:val="20"/>
                <w:szCs w:val="20"/>
                <w:color w:val="auto"/>
              </w:rPr>
            </w:pPr>
            <w:r>
              <w:rPr>
                <w:rFonts w:ascii="Arial" w:cs="Arial" w:eastAsia="Arial" w:hAnsi="Arial"/>
                <w:sz w:val="13"/>
                <w:szCs w:val="13"/>
                <w:color w:val="auto"/>
              </w:rPr>
              <w:t>1,309</w:t>
            </w:r>
          </w:p>
        </w:tc>
        <w:tc>
          <w:tcPr>
            <w:tcW w:w="60" w:type="dxa"/>
            <w:vAlign w:val="bottom"/>
            <w:shd w:val="clear" w:color="auto" w:fill="CCEC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shd w:val="clear" w:color="auto" w:fill="CCECFC"/>
          </w:tcPr>
          <w:p>
            <w:pPr>
              <w:ind w:left="200"/>
              <w:spacing w:after="0"/>
              <w:rPr>
                <w:sz w:val="20"/>
                <w:szCs w:val="20"/>
                <w:color w:val="auto"/>
              </w:rPr>
            </w:pPr>
            <w:r>
              <w:rPr>
                <w:rFonts w:ascii="Arial" w:cs="Arial" w:eastAsia="Arial" w:hAnsi="Arial"/>
                <w:sz w:val="13"/>
                <w:szCs w:val="13"/>
                <w:color w:val="auto"/>
              </w:rPr>
              <w:t>expenses</w:t>
            </w:r>
          </w:p>
        </w:tc>
        <w:tc>
          <w:tcPr>
            <w:tcW w:w="1080" w:type="dxa"/>
            <w:vAlign w:val="bottom"/>
            <w:vMerge w:val="continue"/>
            <w:shd w:val="clear" w:color="auto" w:fill="CCECFC"/>
          </w:tcPr>
          <w:p>
            <w:pPr>
              <w:spacing w:after="0"/>
              <w:rPr>
                <w:sz w:val="15"/>
                <w:szCs w:val="15"/>
                <w:color w:val="auto"/>
              </w:rPr>
            </w:pPr>
          </w:p>
        </w:tc>
        <w:tc>
          <w:tcPr>
            <w:tcW w:w="640" w:type="dxa"/>
            <w:vAlign w:val="bottom"/>
            <w:vMerge w:val="continue"/>
            <w:shd w:val="clear" w:color="auto" w:fill="CCECFC"/>
          </w:tcPr>
          <w:p>
            <w:pPr>
              <w:spacing w:after="0"/>
              <w:rPr>
                <w:sz w:val="15"/>
                <w:szCs w:val="15"/>
                <w:color w:val="auto"/>
              </w:rPr>
            </w:pPr>
          </w:p>
        </w:tc>
        <w:tc>
          <w:tcPr>
            <w:tcW w:w="100" w:type="dxa"/>
            <w:vAlign w:val="bottom"/>
            <w:shd w:val="clear" w:color="auto" w:fill="CCECFC"/>
          </w:tcPr>
          <w:p>
            <w:pPr>
              <w:spacing w:after="0"/>
              <w:rPr>
                <w:sz w:val="15"/>
                <w:szCs w:val="15"/>
                <w:color w:val="auto"/>
              </w:rPr>
            </w:pPr>
          </w:p>
        </w:tc>
        <w:tc>
          <w:tcPr>
            <w:tcW w:w="520" w:type="dxa"/>
            <w:vAlign w:val="bottom"/>
            <w:gridSpan w:val="2"/>
            <w:vMerge w:val="continue"/>
            <w:shd w:val="clear" w:color="auto" w:fill="CCECFC"/>
          </w:tcPr>
          <w:p>
            <w:pPr>
              <w:spacing w:after="0"/>
              <w:rPr>
                <w:sz w:val="15"/>
                <w:szCs w:val="15"/>
                <w:color w:val="auto"/>
              </w:rPr>
            </w:pPr>
          </w:p>
        </w:tc>
        <w:tc>
          <w:tcPr>
            <w:tcW w:w="1300" w:type="dxa"/>
            <w:vAlign w:val="bottom"/>
            <w:vMerge w:val="continue"/>
            <w:shd w:val="clear" w:color="auto" w:fill="CCECFC"/>
          </w:tcPr>
          <w:p>
            <w:pPr>
              <w:spacing w:after="0"/>
              <w:rPr>
                <w:sz w:val="15"/>
                <w:szCs w:val="15"/>
                <w:color w:val="auto"/>
              </w:rPr>
            </w:pPr>
          </w:p>
        </w:tc>
        <w:tc>
          <w:tcPr>
            <w:tcW w:w="240" w:type="dxa"/>
            <w:vAlign w:val="bottom"/>
            <w:shd w:val="clear" w:color="auto" w:fill="CCECFC"/>
          </w:tcPr>
          <w:p>
            <w:pPr>
              <w:spacing w:after="0"/>
              <w:rPr>
                <w:sz w:val="15"/>
                <w:szCs w:val="15"/>
                <w:color w:val="auto"/>
              </w:rPr>
            </w:pPr>
          </w:p>
        </w:tc>
        <w:tc>
          <w:tcPr>
            <w:tcW w:w="400" w:type="dxa"/>
            <w:vAlign w:val="bottom"/>
            <w:vMerge w:val="continue"/>
            <w:shd w:val="clear" w:color="auto" w:fill="CCECFC"/>
          </w:tcPr>
          <w:p>
            <w:pPr>
              <w:spacing w:after="0"/>
              <w:rPr>
                <w:sz w:val="15"/>
                <w:szCs w:val="15"/>
                <w:color w:val="auto"/>
              </w:rPr>
            </w:pPr>
          </w:p>
        </w:tc>
        <w:tc>
          <w:tcPr>
            <w:tcW w:w="1380" w:type="dxa"/>
            <w:vAlign w:val="bottom"/>
            <w:vMerge w:val="continue"/>
            <w:shd w:val="clear" w:color="auto" w:fill="CCECFC"/>
          </w:tcPr>
          <w:p>
            <w:pPr>
              <w:spacing w:after="0"/>
              <w:rPr>
                <w:sz w:val="15"/>
                <w:szCs w:val="15"/>
                <w:color w:val="auto"/>
              </w:rPr>
            </w:pPr>
          </w:p>
        </w:tc>
        <w:tc>
          <w:tcPr>
            <w:tcW w:w="60" w:type="dxa"/>
            <w:vAlign w:val="bottom"/>
            <w:shd w:val="clear" w:color="auto" w:fill="CCEC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0"/>
              <w:spacing w:after="0"/>
              <w:rPr>
                <w:sz w:val="20"/>
                <w:szCs w:val="20"/>
                <w:color w:val="auto"/>
              </w:rPr>
            </w:pPr>
            <w:r>
              <w:rPr>
                <w:rFonts w:ascii="Arial" w:cs="Arial" w:eastAsia="Arial" w:hAnsi="Arial"/>
                <w:sz w:val="13"/>
                <w:szCs w:val="13"/>
                <w:color w:val="auto"/>
              </w:rPr>
              <w:t>Shares withheld for tax included in accrued expenses</w:t>
            </w:r>
          </w:p>
        </w:tc>
        <w:tc>
          <w:tcPr>
            <w:tcW w:w="1080" w:type="dxa"/>
            <w:vAlign w:val="bottom"/>
          </w:tcPr>
          <w:p>
            <w:pPr>
              <w:jc w:val="right"/>
              <w:ind w:right="913"/>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6,333</w:t>
            </w:r>
          </w:p>
        </w:tc>
        <w:tc>
          <w:tcPr>
            <w:tcW w:w="240" w:type="dxa"/>
            <w:vAlign w:val="bottom"/>
          </w:tcPr>
          <w:p>
            <w:pPr>
              <w:spacing w:after="0"/>
              <w:rPr>
                <w:sz w:val="14"/>
                <w:szCs w:val="14"/>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4,798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CECFC"/>
          </w:tcPr>
          <w:p>
            <w:pPr>
              <w:ind w:left="200"/>
              <w:spacing w:after="0"/>
              <w:rPr>
                <w:sz w:val="20"/>
                <w:szCs w:val="20"/>
                <w:color w:val="auto"/>
              </w:rPr>
            </w:pPr>
            <w:r>
              <w:rPr>
                <w:rFonts w:ascii="Arial" w:cs="Arial" w:eastAsia="Arial" w:hAnsi="Arial"/>
                <w:sz w:val="13"/>
                <w:szCs w:val="13"/>
                <w:color w:val="auto"/>
              </w:rPr>
              <w:t>Accrued debt issuance costs</w:t>
            </w:r>
          </w:p>
        </w:tc>
        <w:tc>
          <w:tcPr>
            <w:tcW w:w="1080" w:type="dxa"/>
            <w:vAlign w:val="bottom"/>
            <w:shd w:val="clear" w:color="auto" w:fill="CCECFC"/>
          </w:tcPr>
          <w:p>
            <w:pPr>
              <w:jc w:val="right"/>
              <w:ind w:right="913"/>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CFC"/>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CFC"/>
          </w:tcPr>
          <w:p>
            <w:pPr>
              <w:jc w:val="right"/>
              <w:ind w:right="23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CFC"/>
          </w:tcPr>
          <w:p>
            <w:pPr>
              <w:jc w:val="right"/>
              <w:spacing w:after="0"/>
              <w:rPr>
                <w:sz w:val="20"/>
                <w:szCs w:val="20"/>
                <w:color w:val="auto"/>
              </w:rPr>
            </w:pPr>
            <w:r>
              <w:rPr>
                <w:rFonts w:ascii="Arial" w:cs="Arial" w:eastAsia="Arial" w:hAnsi="Arial"/>
                <w:sz w:val="13"/>
                <w:szCs w:val="13"/>
                <w:color w:val="auto"/>
              </w:rPr>
              <w:t>11,000</w:t>
            </w:r>
          </w:p>
        </w:tc>
        <w:tc>
          <w:tcPr>
            <w:tcW w:w="240" w:type="dxa"/>
            <w:vAlign w:val="bottom"/>
            <w:shd w:val="clear" w:color="auto" w:fill="CCECFC"/>
          </w:tcPr>
          <w:p>
            <w:pPr>
              <w:spacing w:after="0"/>
              <w:rPr>
                <w:sz w:val="14"/>
                <w:szCs w:val="14"/>
                <w:color w:val="auto"/>
              </w:rPr>
            </w:pPr>
          </w:p>
        </w:tc>
        <w:tc>
          <w:tcPr>
            <w:tcW w:w="400" w:type="dxa"/>
            <w:vAlign w:val="bottom"/>
            <w:shd w:val="clear" w:color="auto" w:fill="CCECFC"/>
          </w:tcPr>
          <w:p>
            <w:pPr>
              <w:jc w:val="right"/>
              <w:ind w:right="25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CFC"/>
          </w:tcPr>
          <w:p>
            <w:pPr>
              <w:jc w:val="right"/>
              <w:spacing w:after="0"/>
              <w:rPr>
                <w:sz w:val="20"/>
                <w:szCs w:val="20"/>
                <w:color w:val="auto"/>
              </w:rPr>
            </w:pPr>
            <w:r>
              <w:rPr>
                <w:rFonts w:ascii="Arial" w:cs="Arial" w:eastAsia="Arial" w:hAnsi="Arial"/>
                <w:sz w:val="13"/>
                <w:szCs w:val="13"/>
                <w:color w:val="auto"/>
              </w:rPr>
              <w:t>5,000</w:t>
            </w:r>
          </w:p>
        </w:tc>
        <w:tc>
          <w:tcPr>
            <w:tcW w:w="60" w:type="dxa"/>
            <w:vAlign w:val="bottom"/>
            <w:shd w:val="clear" w:color="auto" w:fill="CCEC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-4359910</wp:posOffset>
            </wp:positionV>
            <wp:extent cx="431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-4359910</wp:posOffset>
            </wp:positionV>
            <wp:extent cx="431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-4359910</wp:posOffset>
            </wp:positionV>
            <wp:extent cx="431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-3305175</wp:posOffset>
            </wp:positionV>
            <wp:extent cx="431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-3305175</wp:posOffset>
            </wp:positionV>
            <wp:extent cx="431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-3305175</wp:posOffset>
            </wp:positionV>
            <wp:extent cx="431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-2388235</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-2388235</wp:posOffset>
            </wp:positionV>
            <wp:extent cx="431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-2388235</wp:posOffset>
            </wp:positionV>
            <wp:extent cx="431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-1753870</wp:posOffset>
            </wp:positionV>
            <wp:extent cx="431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-1753870</wp:posOffset>
            </wp:positionV>
            <wp:extent cx="431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-1753870</wp:posOffset>
            </wp:positionV>
            <wp:extent cx="431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Sarepta Therapeutics, Inc.</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0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Sarepta Therapeutics, Inc. (together with its wholly-owned subsidiaries, “Sarepta” or the “Company”) is a commercial-stage biopharmaceutical company focused on helping patients through the discovery and development of unique RNA-targeted therapeutics, gene therapy and other genetic therapeutic modalities for the treatment of rare diseases. Applying its proprietary, highly-differentiated and innovative technologies, and through collaborations with its strategic partners, the Company is developing potential therapeutic candidates for a broad range of diseases and disorders, including Duchenne muscular dystrophy (“Duchenne”), Limb-girdle muscular dystrophies (“LGMDs”) and other neuromuscular and central nervous system (“CNS”) disorders.</w:t>
      </w:r>
    </w:p>
    <w:p>
      <w:pPr>
        <w:spacing w:after="0" w:line="81" w:lineRule="exact"/>
        <w:rPr>
          <w:sz w:val="20"/>
          <w:szCs w:val="20"/>
          <w:color w:val="auto"/>
        </w:rPr>
      </w:pPr>
    </w:p>
    <w:p>
      <w:pPr>
        <w:ind w:right="200" w:firstLine="749"/>
        <w:spacing w:after="0" w:line="239" w:lineRule="auto"/>
        <w:rPr>
          <w:sz w:val="20"/>
          <w:szCs w:val="20"/>
          <w:color w:val="auto"/>
        </w:rPr>
      </w:pPr>
      <w:r>
        <w:rPr>
          <w:rFonts w:ascii="Arial" w:cs="Arial" w:eastAsia="Arial" w:hAnsi="Arial"/>
          <w:sz w:val="18"/>
          <w:szCs w:val="18"/>
          <w:color w:val="auto"/>
        </w:rPr>
        <w:t>The Company's products in the U.S., EXONDYS 51 (eteplirsen) Injection (“EXONDYS 51”), VYONDYS 53 (golodirsen) Injection (“VYONDYS 53”) and AMONDYS 45 (casimersen) Injection (“AMONDYS 45”), were granted accelerated approval by the U.S. Food and Drug Administration (the “FDA”) on September 19, 2016, December 12, 2019 and February 25, 2021, respectively. Indicated for the treatment of Duchenne in patients who have a confirmed mutation of the dystrophin gene that is amenable to exon 51, exon 53 and exon 45 skipping, respectively, EXONDYS 51, VYONDYS 53 and AMONDYS 45 use the Company’s phosphorodiamidate morpholino oligomer (“PMO”) chemistry and exon-skipping technology to skip exon 51, exon 53 and exon 45 of the dystrophin gene. Exon skipping is intended to promote the production of an internally truncated but functional dystrophin protein.</w:t>
      </w:r>
    </w:p>
    <w:p>
      <w:pPr>
        <w:spacing w:after="0" w:line="83" w:lineRule="exact"/>
        <w:rPr>
          <w:sz w:val="20"/>
          <w:szCs w:val="20"/>
          <w:color w:val="auto"/>
        </w:rPr>
      </w:pPr>
    </w:p>
    <w:p>
      <w:pPr>
        <w:ind w:right="200" w:firstLine="749"/>
        <w:spacing w:after="0" w:line="259" w:lineRule="auto"/>
        <w:rPr>
          <w:sz w:val="20"/>
          <w:szCs w:val="20"/>
          <w:color w:val="auto"/>
        </w:rPr>
      </w:pPr>
      <w:r>
        <w:rPr>
          <w:rFonts w:ascii="Arial" w:cs="Arial" w:eastAsia="Arial" w:hAnsi="Arial"/>
          <w:sz w:val="17"/>
          <w:szCs w:val="17"/>
          <w:color w:val="auto"/>
        </w:rPr>
        <w:t>As of December 31, 2021, the Company had approximately $2,125.8 million of cash, cash equivalents and investments, consisting of $2,115.9 million of cash and cash equivalents and $9.9 million of restricted cash and investments. The Company believes that its balance of cash, cash equivalents and investments as of December 31, 2021 is sufficient to fund its current operational plan for at least the next twelve months, though it may pursue additional cash resources through public or private debt and equity financings, seek funded research and development arrangements and additional government contracts and establish collaborations with or license its technology to other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ind w:right="140" w:firstLine="749"/>
        <w:spacing w:after="0" w:line="276" w:lineRule="auto"/>
        <w:rPr>
          <w:sz w:val="20"/>
          <w:szCs w:val="20"/>
          <w:color w:val="auto"/>
        </w:rPr>
      </w:pPr>
      <w:r>
        <w:rPr>
          <w:rFonts w:ascii="Arial" w:cs="Arial" w:eastAsia="Arial" w:hAnsi="Arial"/>
          <w:sz w:val="16"/>
          <w:szCs w:val="16"/>
          <w:color w:val="auto"/>
        </w:rPr>
        <w:t>The accompanying consolidated financial statements, which have been prepared in accordance with accounting principles generally accepted in the U.S. (“U.S. GAAP”), reflect the accounts of Sarepta Therapeutics, Inc. and its wholly-owned subsidiaries. All intercompany transactions between and among its consolidated subsidiaries have been eliminated. Management has determined that the Company operates in one segment: discovering,</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developing, manufacturing and delivering therapies to patients with rare diseases. The Company’s CEO, as the chief operating decision-maker, manages and allocates resources to the operations of the Company on a total company basis. The Company’s research and development organization is responsible for the research and discovery of new product candidates and supports development and registration efforts for potential future products. The Company’s supply chain organization manages the development of the manufacturing processes, clinical trial supply and commercial product supply. The Company’s commercial organization is responsible for commercialization of EXONDYS 51, VYONDYS 53 and AMONDYS 45 in the U.S. and internationally. The Company is supported by other back-office general and administration functions. Consistent with this decision-making process, the Company’s CEO uses consolidated, single-segment financial information for purposes of evaluating performance, forecasting future period financial results, allocating resources and setting incentive targets. In the opinion of the Company’s management, all adjustments of a normal recurring nature necessary for a fair presentation have been reflected.</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Estimates and Uncertainties</w:t>
      </w:r>
    </w:p>
    <w:p>
      <w:pPr>
        <w:spacing w:after="0" w:line="104"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liabilities, equity, revenue, expenses and the disclosure of contingent assets and liabilities. Actual results could differ from those estimates.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The Company has certain financial assets and liabilities that are recorded at fair value which have been classified as Level 1, 2 or 3 within the fair value hierarchy as described in the accounting standards for fair value measurements:</w:t>
      </w:r>
    </w:p>
    <w:p>
      <w:pPr>
        <w:spacing w:after="0" w:line="63" w:lineRule="exact"/>
        <w:rPr>
          <w:sz w:val="20"/>
          <w:szCs w:val="20"/>
          <w:color w:val="auto"/>
        </w:rPr>
      </w:pPr>
    </w:p>
    <w:p>
      <w:pPr>
        <w:ind w:left="1260" w:hanging="503"/>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03" w:lineRule="exact"/>
        <w:rPr>
          <w:rFonts w:ascii="Arial" w:cs="Arial" w:eastAsia="Arial" w:hAnsi="Arial"/>
          <w:sz w:val="18"/>
          <w:szCs w:val="18"/>
          <w:color w:val="auto"/>
        </w:rPr>
      </w:pPr>
    </w:p>
    <w:p>
      <w:pPr>
        <w:ind w:left="1260" w:right="60" w:hanging="503"/>
        <w:spacing w:after="0" w:line="324" w:lineRule="auto"/>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6" w:lineRule="exact"/>
        <w:rPr>
          <w:rFonts w:ascii="Arial" w:cs="Arial" w:eastAsia="Arial" w:hAnsi="Arial"/>
          <w:sz w:val="16"/>
          <w:szCs w:val="16"/>
          <w:color w:val="auto"/>
        </w:rPr>
      </w:pPr>
    </w:p>
    <w:p>
      <w:pPr>
        <w:ind w:left="1260" w:hanging="503"/>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value drivers are unobservable.</w:t>
      </w:r>
    </w:p>
    <w:p>
      <w:pPr>
        <w:spacing w:after="0" w:line="21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 xml:space="preserve">The fair value of the majority of the Company’s financial assets is categorized as Level 1 within the fair value hierarchy. These assets include money market funds, and publicly traded debt and equity securities. For additional information related to fair value measurements, please read </w:t>
      </w:r>
      <w:r>
        <w:rPr>
          <w:rFonts w:ascii="Arial" w:cs="Arial" w:eastAsia="Arial" w:hAnsi="Arial"/>
          <w:sz w:val="18"/>
          <w:szCs w:val="18"/>
          <w:i w:val="1"/>
          <w:iCs w:val="1"/>
          <w:color w:val="auto"/>
        </w:rPr>
        <w:t>Note 5,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w:t>
      </w:r>
      <w:r>
        <w:rPr>
          <w:rFonts w:ascii="Arial" w:cs="Arial" w:eastAsia="Arial" w:hAnsi="Arial"/>
          <w:sz w:val="18"/>
          <w:szCs w:val="18"/>
          <w:color w:val="auto"/>
        </w:rPr>
        <w:t>to the consolidated financial statements.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04"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Only investments that are highly liquid and readily convertible to cash and have original maturities of three months or less are considered cash equivalents.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Available-For-Sale Debt Securities</w:t>
      </w:r>
    </w:p>
    <w:p>
      <w:pPr>
        <w:spacing w:after="0" w:line="104" w:lineRule="exact"/>
        <w:rPr>
          <w:sz w:val="20"/>
          <w:szCs w:val="20"/>
          <w:color w:val="auto"/>
        </w:rPr>
      </w:pPr>
    </w:p>
    <w:p>
      <w:pPr>
        <w:ind w:right="320" w:firstLine="749"/>
        <w:spacing w:after="0" w:line="324" w:lineRule="auto"/>
        <w:rPr>
          <w:sz w:val="20"/>
          <w:szCs w:val="20"/>
          <w:color w:val="auto"/>
        </w:rPr>
      </w:pPr>
      <w:r>
        <w:rPr>
          <w:rFonts w:ascii="Arial" w:cs="Arial" w:eastAsia="Arial" w:hAnsi="Arial"/>
          <w:sz w:val="16"/>
          <w:szCs w:val="16"/>
          <w:color w:val="auto"/>
        </w:rPr>
        <w:t>Available-for-sale debt securities are recorded at fair value and unrealized gains and losses are included in accumulated other comprehensive income in stockholder’s equity. Interest income and realized gains and losses are reported in other expense, net, on a specific identification basis.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Investments</w:t>
      </w:r>
    </w:p>
    <w:p>
      <w:pPr>
        <w:spacing w:after="0" w:line="104"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The Company’s equity investments include its investments in a publicly traded biotechnology company and several privately held biotechnology companies and are included in other non-current assets in the Company’s consolidated balance sheets. The equity investment in the publicly traded biotechnology company has a readily determinable fair value and is carried at fair value. The equity investments in the privately held biotechnology companies do not have readily determinable fair values and are measured at cost less any impairment, plus or minus changes resulting from observable price changes for the identical or a similar investment of the same issuer. Any change in the valuation of equity investments is recorded as a gain or loss on the Company’s consolidated statements of operations and comprehensive loss.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04"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Company’s accounts receivable primarily arise from product sales. They are generally stated at the invoiced amount and do not bear interest. Revenues from product sales are recorded at the net sales price (transaction price), which includes estimates of variable consideration for which reserves are established and which result from Medicaid rebates, governmental chargebacks including Public Health Services (“PHS”) chargebacks, prompt pay discounts, co-pay assistance and distribution fees. These reserves are based on the amounts earned or to be claimed on the related sales and are classified as reductions of accounts receivable (if no payments are required of the Company) for PHS chargebacks, prompt pay discounts and certain distribution fees, or a current liability (if a payment is required of the Company) for Medicaid rebates, co-pay assistance and certain distribution fees.</w:t>
      </w:r>
    </w:p>
    <w:p>
      <w:pPr>
        <w:spacing w:after="0" w:line="161" w:lineRule="exact"/>
        <w:rPr>
          <w:sz w:val="20"/>
          <w:szCs w:val="20"/>
          <w:color w:val="auto"/>
        </w:rPr>
      </w:pPr>
    </w:p>
    <w:p>
      <w:pPr>
        <w:ind w:right="80" w:firstLine="749"/>
        <w:spacing w:after="0" w:line="274" w:lineRule="auto"/>
        <w:rPr>
          <w:sz w:val="20"/>
          <w:szCs w:val="20"/>
          <w:color w:val="auto"/>
        </w:rPr>
      </w:pPr>
      <w:r>
        <w:rPr>
          <w:rFonts w:ascii="Arial" w:cs="Arial" w:eastAsia="Arial" w:hAnsi="Arial"/>
          <w:sz w:val="16"/>
          <w:szCs w:val="16"/>
          <w:color w:val="auto"/>
        </w:rPr>
        <w:t>The accounts receivable from product sales represents receivables due from the Company’s specialty distributor and specialty pharmacies in the U.S. as well as certain distributors in the European Union (“EU”), Brazil, Israel and the Middle East. The Company has had no historical write-offs of its accounts receivable and its payment terms range from 60 to 91 days for sales within the U.S. and 45 and 150 days for the majority of product sales outside the U.S. The Company monitors the financial performance and creditworthiness of its customers so that it can properly assess and respond to changes in the customers’ credit profiles or any specific issues. The Company provides reserves against trade receivables for expected credit losses that may result from a customer’s inability to pay. Amounts determined to be uncollectible are written-off against the established reserve. As of December 31, 2021, the credit profiles for the Company’s customers are deemed to be in good standing and an allowance for credit losses is not considered necessary.</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2" w:name="page103"/>
    <w:bookmarkEnd w:id="102"/>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Financial instruments that potentially subject the Company to concentrations of credit risk consist of accounts receivable from customers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169" w:lineRule="exact"/>
        <w:rPr>
          <w:sz w:val="20"/>
          <w:szCs w:val="20"/>
          <w:color w:val="auto"/>
        </w:rPr>
      </w:pPr>
    </w:p>
    <w:p>
      <w:pPr>
        <w:ind w:right="140" w:firstLine="749"/>
        <w:spacing w:after="0" w:line="232" w:lineRule="auto"/>
        <w:rPr>
          <w:sz w:val="20"/>
          <w:szCs w:val="20"/>
          <w:color w:val="auto"/>
        </w:rPr>
      </w:pPr>
      <w:r>
        <w:rPr>
          <w:rFonts w:ascii="Arial" w:cs="Arial" w:eastAsia="Arial" w:hAnsi="Arial"/>
          <w:sz w:val="17"/>
          <w:szCs w:val="17"/>
          <w:color w:val="auto"/>
        </w:rPr>
        <w:t>Three individual customers accounted for 48%, 39% and 10% of net product revenues for the year ended December 31, 2021, 47%, 39% and 11% for the year ended December 31, 2020, and 43%, 41% and 13% for the year ended December 31, 2019. Three individual customers accounted for 41%, 41% and 10% of accounts receivable from product sales for the year ended December 31, 2021 and 45%, 41% and 9% for the year ended December 31, 2020. As of December 31, 2021, the Company believes that such customers are of high credit quality.</w:t>
      </w:r>
    </w:p>
    <w:p>
      <w:pPr>
        <w:spacing w:after="0" w:line="162" w:lineRule="exact"/>
        <w:rPr>
          <w:sz w:val="20"/>
          <w:szCs w:val="20"/>
          <w:color w:val="auto"/>
        </w:rPr>
      </w:pPr>
    </w:p>
    <w:p>
      <w:pPr>
        <w:ind w:right="100" w:firstLine="749"/>
        <w:spacing w:after="0" w:line="258" w:lineRule="auto"/>
        <w:rPr>
          <w:sz w:val="20"/>
          <w:szCs w:val="20"/>
          <w:color w:val="auto"/>
        </w:rPr>
      </w:pPr>
      <w:r>
        <w:rPr>
          <w:rFonts w:ascii="Arial" w:cs="Arial" w:eastAsia="Arial" w:hAnsi="Arial"/>
          <w:sz w:val="17"/>
          <w:szCs w:val="17"/>
          <w:color w:val="auto"/>
        </w:rPr>
        <w:t>As of December 31, 2021, the Company’s cash was concentrated at three financial institutions, which potentially exposes the Company to credit risks. However, the Company does not believe that there is significant risk of non-performance by the financial institutions.</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ind w:right="340" w:firstLine="749"/>
        <w:spacing w:after="0" w:line="284" w:lineRule="auto"/>
        <w:rPr>
          <w:sz w:val="20"/>
          <w:szCs w:val="20"/>
          <w:color w:val="auto"/>
        </w:rPr>
      </w:pPr>
      <w:r>
        <w:rPr>
          <w:rFonts w:ascii="Arial" w:cs="Arial" w:eastAsia="Arial" w:hAnsi="Arial"/>
          <w:sz w:val="16"/>
          <w:szCs w:val="16"/>
          <w:color w:val="auto"/>
        </w:rPr>
        <w:t>Inventories are stated at the lower of cost and net realizable value with cost determined on a first-in, first-out basis. The Company capitalizes inventory costs associated with products following regulatory approval when future commercialization is considered probable and the future economic benefit is expected to be realized. EXONDYS 51, VYONDYS 53 and AMONDYS 45 inventory used in clinical development programs is charged to research and development expense when the product enters the research and development process and no longer can be used for commercial purposes.</w:t>
      </w:r>
    </w:p>
    <w:p>
      <w:pPr>
        <w:spacing w:after="0" w:line="15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The Company periodically analyzes its inventories for excess amounts or obsolescence and writes down obsolete or otherwise unmarketable inventory to its estimated net realizable value. Additionally, though the Company’s products are subject to strict quality control and monitoring which the Company performs throughout the manufacturing processes, certain batches or units of product may not meet quality specifications. Expense incurred related to excess inventory, obsolete inventory, or inventories that do not meet the Company's quality specifications are recorded as a component of cost of sales in the Company's consolidated statements of operations and comprehensive loss.</w:t>
      </w:r>
    </w:p>
    <w:p>
      <w:pPr>
        <w:spacing w:after="0" w:line="174" w:lineRule="exact"/>
        <w:rPr>
          <w:sz w:val="20"/>
          <w:szCs w:val="20"/>
          <w:color w:val="auto"/>
        </w:rPr>
      </w:pPr>
    </w:p>
    <w:p>
      <w:pPr>
        <w:ind w:right="200" w:firstLine="749"/>
        <w:spacing w:after="0" w:line="241" w:lineRule="auto"/>
        <w:rPr>
          <w:sz w:val="20"/>
          <w:szCs w:val="20"/>
          <w:color w:val="auto"/>
        </w:rPr>
      </w:pPr>
      <w:r>
        <w:rPr>
          <w:rFonts w:ascii="Arial" w:cs="Arial" w:eastAsia="Arial" w:hAnsi="Arial"/>
          <w:sz w:val="18"/>
          <w:szCs w:val="18"/>
          <w:color w:val="auto"/>
        </w:rPr>
        <w:t>For products which are under development and have not yet been approved by regulatory authorities, purchased drug product is charged to research and development expense upon delivery. Delivery occurs when the inventory passes quality inspection and ownership transfers to the Company. Nonrefundable advance payments for research and development activities, including production of purchased drug product, are deferred and capitalized until the goods are delivered. If the Company does not expect the goods to be delivered or services to be rendered, the advanced payment capitalized will be charged to expense.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140" w:firstLine="749"/>
        <w:spacing w:after="0" w:line="257" w:lineRule="auto"/>
        <w:rPr>
          <w:sz w:val="20"/>
          <w:szCs w:val="20"/>
          <w:color w:val="auto"/>
        </w:rPr>
      </w:pPr>
      <w:r>
        <w:rPr>
          <w:rFonts w:ascii="Arial" w:cs="Arial" w:eastAsia="Arial" w:hAnsi="Arial"/>
          <w:sz w:val="17"/>
          <w:szCs w:val="17"/>
          <w:color w:val="auto"/>
        </w:rPr>
        <w:t>Property and equipment are initially recorded at cost, including the acquisition cost and all costs necessarily incurred to bring the asset to the location and working condition necessary for their intended use. The cost of normal, recurring or periodic repairs and maintenance activities related to property and equipment are expensed as incurred. The cost for planned major maintenance activities, including the related acquisition or construction of assets, is capitalized if the repair will result in future economic benefits. Interest costs incurred during the construction period of major capital projects are periodically reviewed, and if determined to be material, capitalized until the asset is ready for its intended use, at which point the interest costs are amortized as depreciation expense over the life of the underlying asset.</w:t>
      </w:r>
    </w:p>
    <w:p>
      <w:pPr>
        <w:spacing w:after="0" w:line="175"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The Company generally depreciates the cost of its property and equipment using the straight-line method over the estimated useful lives of the respective assets, which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31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6"/>
                <w:szCs w:val="16"/>
                <w:color w:val="auto"/>
              </w:rPr>
            </w:pPr>
          </w:p>
        </w:tc>
        <w:tc>
          <w:tcPr>
            <w:tcW w:w="33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Useful lives</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314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Lab and manufacturing equipment</w:t>
            </w:r>
          </w:p>
        </w:tc>
        <w:tc>
          <w:tcPr>
            <w:tcW w:w="240" w:type="dxa"/>
            <w:vAlign w:val="bottom"/>
            <w:shd w:val="clear" w:color="auto" w:fill="CFF0FC"/>
          </w:tcPr>
          <w:p>
            <w:pPr>
              <w:spacing w:after="0"/>
              <w:rPr>
                <w:sz w:val="17"/>
                <w:szCs w:val="17"/>
                <w:color w:val="auto"/>
              </w:rPr>
            </w:pPr>
          </w:p>
        </w:tc>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5 years</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5 years</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Software and computer equipment</w:t>
            </w:r>
          </w:p>
        </w:tc>
        <w:tc>
          <w:tcPr>
            <w:tcW w:w="240" w:type="dxa"/>
            <w:vAlign w:val="bottom"/>
            <w:shd w:val="clear" w:color="auto" w:fill="CFF0FC"/>
          </w:tcPr>
          <w:p>
            <w:pPr>
              <w:spacing w:after="0"/>
              <w:rPr>
                <w:sz w:val="17"/>
                <w:szCs w:val="17"/>
                <w:color w:val="auto"/>
              </w:rPr>
            </w:pPr>
          </w:p>
        </w:tc>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3 - 5 years</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7 years</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314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4"/>
                <w:szCs w:val="14"/>
                <w:color w:val="auto"/>
              </w:rPr>
            </w:pPr>
          </w:p>
        </w:tc>
        <w:tc>
          <w:tcPr>
            <w:tcW w:w="33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Lesser of the useful life or the term of</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314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36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the respective lease</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31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3360" w:type="dxa"/>
            <w:vAlign w:val="bottom"/>
            <w:vMerge w:val="continue"/>
            <w:shd w:val="clear" w:color="auto" w:fill="CFF0FC"/>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Land improvements</w:t>
            </w:r>
          </w:p>
        </w:tc>
        <w:tc>
          <w:tcPr>
            <w:tcW w:w="24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25 years</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Land</w:t>
            </w:r>
          </w:p>
        </w:tc>
        <w:tc>
          <w:tcPr>
            <w:tcW w:w="240" w:type="dxa"/>
            <w:vAlign w:val="bottom"/>
            <w:shd w:val="clear" w:color="auto" w:fill="CFF0FC"/>
          </w:tcPr>
          <w:p>
            <w:pPr>
              <w:spacing w:after="0"/>
              <w:rPr>
                <w:sz w:val="17"/>
                <w:szCs w:val="17"/>
                <w:color w:val="auto"/>
              </w:rPr>
            </w:pPr>
          </w:p>
        </w:tc>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Not depreciated</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30 years</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31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FF0FC"/>
          </w:tcPr>
          <w:p>
            <w:pPr>
              <w:spacing w:after="0"/>
              <w:rPr>
                <w:sz w:val="17"/>
                <w:szCs w:val="17"/>
                <w:color w:val="auto"/>
              </w:rPr>
            </w:pPr>
          </w:p>
        </w:tc>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Not depreciated until put into service</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2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F-10</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3" w:name="page104"/>
    <w:bookmarkEnd w:id="103"/>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Company’s intangible assets consist of in-licensed rights, patent costs and software licenses, which are stated in the Company’s consolidated balance sheets, net of accumulated amortization and impairments, if applicable.</w:t>
      </w:r>
    </w:p>
    <w:p>
      <w:pPr>
        <w:spacing w:after="0" w:line="171"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The in-licensed rights primarily relate to agreements with BioMarin Pharmaceutical, Inc. (“BioMarin”) and the University of Western Australia (“UWA”). The in-licensed rights are being amortized on a straight-line basis over the remaining life of the related patents because the life of the related patents reflects the expected time period that the Company will benefit from the in-licensed rights.</w:t>
      </w:r>
    </w:p>
    <w:p>
      <w:pPr>
        <w:spacing w:after="0" w:line="182" w:lineRule="exact"/>
        <w:rPr>
          <w:sz w:val="20"/>
          <w:szCs w:val="20"/>
          <w:color w:val="auto"/>
        </w:rPr>
      </w:pPr>
    </w:p>
    <w:p>
      <w:pPr>
        <w:ind w:right="240" w:firstLine="749"/>
        <w:spacing w:after="0" w:line="284" w:lineRule="auto"/>
        <w:rPr>
          <w:sz w:val="20"/>
          <w:szCs w:val="20"/>
          <w:color w:val="auto"/>
        </w:rPr>
      </w:pPr>
      <w:r>
        <w:rPr>
          <w:rFonts w:ascii="Arial" w:cs="Arial" w:eastAsia="Arial" w:hAnsi="Arial"/>
          <w:sz w:val="16"/>
          <w:szCs w:val="16"/>
          <w:color w:val="auto"/>
        </w:rPr>
        <w:t>Patent costs consist primarily of external legal costs, filing fees incurred to file patent applications and renewal fees on proprietary technology developed or licensed by the Company. Patent costs associated with applying for a patent, being issued a patent and annual renewal fees are capitalized. Costs to defend a patent and costs to invalidate a competitor’s patent or patent application are expensed as incurred. Patent costs are amortized on a straight-line basis over the shorter of the estimated economic lives or the initial term of the patents, which is generally 20 years.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Long-lived assets held and used by the Company, intangible assets with definite lives and right of use (“ROU”) assets are reviewed for impairment whenever events or circumstances indicate that the carrying amount of assets may not be recoverable. The Company evaluates recoverability of assets to be held and used by comparing the carrying amount of an asset to future net undiscounted cash flows to be generated by the asset. If the asset is considered to be impaired, the impairment to be recognized is measured as the amount by which the carrying amount of the assets exceeds the fair value of the assets. Such reviews assess the fair value of the assets based upon estimates of future cash flows that the assets are expected to generate.</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04" w:lineRule="exact"/>
        <w:rPr>
          <w:sz w:val="20"/>
          <w:szCs w:val="20"/>
          <w:color w:val="auto"/>
        </w:rPr>
      </w:pPr>
    </w:p>
    <w:p>
      <w:pPr>
        <w:ind w:right="180" w:firstLine="749"/>
        <w:spacing w:after="0" w:line="274" w:lineRule="auto"/>
        <w:rPr>
          <w:sz w:val="20"/>
          <w:szCs w:val="20"/>
          <w:color w:val="auto"/>
        </w:rPr>
      </w:pPr>
      <w:r>
        <w:rPr>
          <w:rFonts w:ascii="Arial" w:cs="Arial" w:eastAsia="Arial" w:hAnsi="Arial"/>
          <w:sz w:val="16"/>
          <w:szCs w:val="16"/>
          <w:color w:val="auto"/>
        </w:rPr>
        <w:t>As a result of adopting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 Accounting for Convertible Instruments and Contracts in an Entity’s Own Equity</w:t>
      </w:r>
      <w:r>
        <w:rPr>
          <w:rFonts w:ascii="Arial" w:cs="Arial" w:eastAsia="Arial" w:hAnsi="Arial"/>
          <w:sz w:val="16"/>
          <w:szCs w:val="16"/>
          <w:color w:val="auto"/>
        </w:rPr>
        <w: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accounts for the liability and equity components of convertible debt instruments that can be settled in cash as a single liability measured at its amortized cost, as long as no other features require bifurcation and recognition as derivatives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Simultaneously with the issuance of the 2024 Notes (defined below) in November 2017, the Company bought capped call options from certain counterparties to minimize the impact of potential dilution upon conversion. The premium for the capped call options was recorded as additional paid-in capital. For additional information related to the convertible debt transactions, please read </w:t>
      </w:r>
      <w:r>
        <w:rPr>
          <w:rFonts w:ascii="Arial" w:cs="Arial" w:eastAsia="Arial" w:hAnsi="Arial"/>
          <w:sz w:val="16"/>
          <w:szCs w:val="16"/>
          <w:i w:val="1"/>
          <w:iCs w:val="1"/>
          <w:color w:val="auto"/>
        </w:rPr>
        <w:t>Note 13, Indebtedness</w:t>
      </w:r>
      <w:r>
        <w:rPr>
          <w:rFonts w:ascii="Arial" w:cs="Arial" w:eastAsia="Arial" w:hAnsi="Arial"/>
          <w:sz w:val="16"/>
          <w:szCs w:val="16"/>
          <w:color w:val="auto"/>
        </w:rPr>
        <w:t xml:space="preserve"> to the consolidated financial statements.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 xml:space="preserve">The Company recognizes revenue when a customer obtains control of promised goods or services, in an amount that reflects the consideration which the Company expects to receive in exchange for the goods or services provided. To determine revenue recognition for arrangements within the scope of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the Company performs the following five steps: (1) identify the contract with the customer; (2) identify the performance obligations in the contract; (3) determine the transaction price; (4) allocate the transaction price to the performance obligations in the contract; and (5) recognize revenue when or as the Company satisfies a performance obligation. The Company only applies the five-step model to contracts when it is probable that the entity will collect the consideration it is entitled to in exchange for the goods or services it transfers or provides to the customer.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only performance obligation in the Company’s contracts with customers is to timely deliver drug products to the customer’s designated location.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revenues</w:t>
      </w:r>
    </w:p>
    <w:p>
      <w:pPr>
        <w:spacing w:after="0" w:line="104" w:lineRule="exact"/>
        <w:rPr>
          <w:sz w:val="20"/>
          <w:szCs w:val="20"/>
          <w:color w:val="auto"/>
        </w:rPr>
      </w:pPr>
    </w:p>
    <w:p>
      <w:pPr>
        <w:ind w:right="280" w:firstLine="749"/>
        <w:spacing w:after="0" w:line="284" w:lineRule="auto"/>
        <w:rPr>
          <w:sz w:val="20"/>
          <w:szCs w:val="20"/>
          <w:color w:val="auto"/>
        </w:rPr>
      </w:pPr>
      <w:r>
        <w:rPr>
          <w:rFonts w:ascii="Arial" w:cs="Arial" w:eastAsia="Arial" w:hAnsi="Arial"/>
          <w:sz w:val="16"/>
          <w:szCs w:val="16"/>
          <w:color w:val="auto"/>
        </w:rPr>
        <w:t>The Company distributes its products principally through its customers. The customers subsequently resell the products to patients and health care providers. The Company provides no right of return to the customers except in cases of shipping error or product defect. Product revenues are recognized when the customers take control of the products, which typically occurs upon delivery to the customers. For the years ended December 31, 2021, 2020 and 2019, the majority of the product revenues recognized were generated by the specialty distributor and specialty pharmacies in the 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04" w:name="page105"/>
    <w:bookmarkEnd w:id="104"/>
    <w:p>
      <w:pPr>
        <w:ind w:left="260"/>
        <w:spacing w:after="0"/>
        <w:rPr>
          <w:sz w:val="20"/>
          <w:szCs w:val="20"/>
          <w:color w:val="auto"/>
        </w:rPr>
      </w:pPr>
      <w:r>
        <w:rPr>
          <w:rFonts w:ascii="Arial" w:cs="Arial" w:eastAsia="Arial" w:hAnsi="Arial"/>
          <w:sz w:val="18"/>
          <w:szCs w:val="18"/>
          <w:i w:val="1"/>
          <w:iCs w:val="1"/>
          <w:color w:val="auto"/>
        </w:rPr>
        <w:t>Variable Consideration</w:t>
      </w:r>
    </w:p>
    <w:p>
      <w:pPr>
        <w:spacing w:after="0" w:line="104"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Product revenues are recorded at the net sales price (transaction price) which includes estimated reserves for variable consideration, such as Medicaid rebates, governmental chargebacks, including PHS chargebacks, prompt payment discounts, co-pay assistance and distribution fees. These reserves reflect the Company’s best estimates of the amount of consideration to which it is entitled based on the terms of the contracts. Additional details relating to variable consideration follows:</w:t>
      </w:r>
    </w:p>
    <w:p>
      <w:pPr>
        <w:spacing w:after="0" w:line="80" w:lineRule="exact"/>
        <w:rPr>
          <w:sz w:val="20"/>
          <w:szCs w:val="20"/>
          <w:color w:val="auto"/>
        </w:rPr>
      </w:pPr>
    </w:p>
    <w:p>
      <w:pPr>
        <w:ind w:left="1260" w:right="60" w:hanging="503"/>
        <w:spacing w:after="0" w:line="248"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Medicaid rebates relate to the Company’s estimated obligations to states under established reimbursement arrangements. Medicaid rebate reserves are recorded in the same period the related revenue is recognized, resulting in a reduction of product revenue and the establishment of a liability which is included in accrued expenses.</w:t>
      </w:r>
    </w:p>
    <w:p>
      <w:pPr>
        <w:spacing w:after="0" w:line="73" w:lineRule="exact"/>
        <w:rPr>
          <w:rFonts w:ascii="Arial" w:cs="Arial" w:eastAsia="Arial" w:hAnsi="Arial"/>
          <w:sz w:val="18"/>
          <w:szCs w:val="18"/>
          <w:color w:val="auto"/>
        </w:rPr>
      </w:pPr>
    </w:p>
    <w:p>
      <w:pPr>
        <w:ind w:left="1260" w:right="40" w:hanging="503"/>
        <w:spacing w:after="0" w:line="255" w:lineRule="auto"/>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Governmental chargebacks, including PHS chargebacks, relate to the Company’s estimated obligations resulting from contractual commitments to sell products to qualified healthcare providers at prices lower than the list prices that the Company charges to wholesalers. The wholesaler charges the Company for the difference between what the wholesaler pays for the products and the ultimate selling price to the qualified healthcare providers. Chargeback reserves are recorded in the same period the related revenue is recognized, resulting in a reduction of product revenue and accounts receivable. Chargeback amounts are generally determined at the time of resale to the qualified healthcare provider from the wholesaler, and the Company generally issues credits for such amounts within a few weeks of receiving notification of resale from the wholesaler.</w:t>
      </w:r>
    </w:p>
    <w:p>
      <w:pPr>
        <w:spacing w:after="0" w:line="71" w:lineRule="exact"/>
        <w:rPr>
          <w:rFonts w:ascii="Arial" w:cs="Arial" w:eastAsia="Arial" w:hAnsi="Arial"/>
          <w:sz w:val="17"/>
          <w:szCs w:val="17"/>
          <w:color w:val="auto"/>
        </w:rPr>
      </w:pPr>
    </w:p>
    <w:p>
      <w:pPr>
        <w:ind w:left="1260" w:right="100" w:hanging="503"/>
        <w:spacing w:after="0" w:line="270" w:lineRule="auto"/>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Prompt payment discounts relate to the Company’s estimated obligations for credits to be granted to specialty pharmacies for remitting payment on their purchases within established incentive periods. Reserves for prompt payment discounts are recorded in the same period the related revenue is recognized, resulting in a reduction of product revenue and accounts receivable.</w:t>
      </w:r>
    </w:p>
    <w:p>
      <w:pPr>
        <w:spacing w:after="0" w:line="55" w:lineRule="exact"/>
        <w:rPr>
          <w:rFonts w:ascii="Arial" w:cs="Arial" w:eastAsia="Arial" w:hAnsi="Arial"/>
          <w:sz w:val="17"/>
          <w:szCs w:val="17"/>
          <w:color w:val="auto"/>
        </w:rPr>
      </w:pPr>
    </w:p>
    <w:p>
      <w:pPr>
        <w:ind w:left="1260" w:right="100" w:hanging="503"/>
        <w:spacing w:after="0" w:line="243"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Co-pay assistance relates to financial assistance provided to qualified patients, whereby the Company may assist them with prescription drug co-payments required by the patient’s insurance provider. Reserves for co-pay assistance are recorded in the same period the related revenue is recognized, resulting in a reduction of product revenue and the establishment of a liability which is included in accrued expenses.</w:t>
      </w:r>
    </w:p>
    <w:p>
      <w:pPr>
        <w:spacing w:after="0" w:line="79" w:lineRule="exact"/>
        <w:rPr>
          <w:rFonts w:ascii="Arial" w:cs="Arial" w:eastAsia="Arial" w:hAnsi="Arial"/>
          <w:sz w:val="18"/>
          <w:szCs w:val="18"/>
          <w:color w:val="auto"/>
        </w:rPr>
      </w:pPr>
    </w:p>
    <w:p>
      <w:pPr>
        <w:ind w:left="1260" w:right="120" w:hanging="503"/>
        <w:spacing w:after="0" w:line="241"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 fees relate to fees paid to customers in the distribution channel that provide the Company with inventory management, data and distribution services and are generally accounted for as a reduction of revenue. To the extent that the services received are distinct from the Company’s sale of products to the customers, these payments are accounted for as selling, general and administrative expenses. Reserves for distribution fees result in an increase in a liability if payments are required of the Company or a reduction of accounts receivable if no payments are required of the Company.</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Collaboration revenue</w:t>
      </w:r>
    </w:p>
    <w:p>
      <w:pPr>
        <w:spacing w:after="0" w:line="10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 xml:space="preserve">The Company’s collaboration revenue is primarily generated from its collaboration arrangement with F. Hoffman-La Roche Ltd. (“Roche”). For more information, please read </w:t>
      </w:r>
      <w:r>
        <w:rPr>
          <w:rFonts w:ascii="Arial" w:cs="Arial" w:eastAsia="Arial" w:hAnsi="Arial"/>
          <w:sz w:val="17"/>
          <w:szCs w:val="17"/>
          <w:i w:val="1"/>
          <w:iCs w:val="1"/>
          <w:color w:val="auto"/>
        </w:rPr>
        <w:t>Note 3, Collaboration and License Agreements</w:t>
      </w:r>
      <w:r>
        <w:rPr>
          <w:rFonts w:ascii="Arial" w:cs="Arial" w:eastAsia="Arial" w:hAnsi="Arial"/>
          <w:sz w:val="17"/>
          <w:szCs w:val="17"/>
          <w:color w:val="auto"/>
        </w:rPr>
        <w:t xml:space="preserve">. At the inception of a collaboration arrangement, the Company first assesses whether the contractual arrangement is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to determine whether the arrangement involves a joint operating activity and involves two (or more) parties that are both active participants in the activity and exposed to significant risks and rewards dependent on the commercial success of such activity. Then the Company determines whether the collaboration arrangement in its entirety represents a contract with a customer as defined by ASC 606. If only a portion of the collaboration arrangement is potentially with a customer, the Company applies the distinct good or service unit-of-account guidance in ASC 606 to determine whether there is a unit of account that should be accounted for under ASC 606. For the units of account in the collaboration arrangement that do not represent a vendor-customer relationship, the Company will (i) consider applying other GAAP, including by analogy, or (ii) if there is no appropriate analogy, consistently apply a reasonable and rational accounting policy election.</w:t>
      </w:r>
    </w:p>
    <w:p>
      <w:pPr>
        <w:spacing w:after="0" w:line="72"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In general, by analogy to ASC 606, the Company identifies the performance obligations within the collaboration arrangement and identifies and allocates the transaction price the Company expects to receive on a relative standalone selling price basis to each performance obligation. Variable consideration, consisting of development and regulatory milestones, will be included in the transaction price only if the Company expects to receive such consideration and if it is probable that the inclusion of the variable consideration will not result in a significant reversal in the cumulative amount of revenue recognized under the arrangement. Sales-based royalty and milestone payments are excluded from the transaction price the Company expects to receive until the underlying sales occur because the license to the Company’s intellectual property is deemed to be the predominant item to which the royalties or milestones relate as it is the primary driver of value in its collaboration arrangement.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5" w:name="page106"/>
    <w:bookmarkEnd w:id="105"/>
    <w:p>
      <w:pPr>
        <w:ind w:right="40" w:firstLine="749"/>
        <w:spacing w:after="0" w:line="279" w:lineRule="auto"/>
        <w:rPr>
          <w:sz w:val="20"/>
          <w:szCs w:val="20"/>
          <w:color w:val="auto"/>
        </w:rPr>
      </w:pPr>
      <w:r>
        <w:rPr>
          <w:rFonts w:ascii="Arial" w:cs="Arial" w:eastAsia="Arial" w:hAnsi="Arial"/>
          <w:sz w:val="16"/>
          <w:szCs w:val="16"/>
          <w:color w:val="auto"/>
        </w:rPr>
        <w:t>For the recognition of revenue associated with each performance obligation, if the Company determines ASC 606 is not appropriate to apply by analogy, the Company will apply a reasonable, rational and consistently applied accounting policy election to faithfully depict the transfer of services to the collaboration partner over the estimated performance period. Up-front payments from a collaboration partner are recognized as deferred revenue when received and recognized as revenue over the estimated performance period. Reimbursement payments from a collaboration partner associated with cost sharing provisions in a collaboration arrangement are recognized as the related expense is incurred and classified as an offset to operating expenses.</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of Product Options</w:t>
      </w:r>
    </w:p>
    <w:p>
      <w:pPr>
        <w:spacing w:after="0" w:line="77" w:lineRule="exact"/>
        <w:rPr>
          <w:sz w:val="20"/>
          <w:szCs w:val="20"/>
          <w:color w:val="auto"/>
        </w:rPr>
      </w:pPr>
    </w:p>
    <w:p>
      <w:pPr>
        <w:ind w:right="20" w:firstLine="749"/>
        <w:spacing w:after="0" w:line="223" w:lineRule="auto"/>
        <w:rPr>
          <w:sz w:val="20"/>
          <w:szCs w:val="20"/>
          <w:color w:val="auto"/>
        </w:rPr>
      </w:pPr>
      <w:r>
        <w:rPr>
          <w:rFonts w:ascii="Arial" w:cs="Arial" w:eastAsia="Arial" w:hAnsi="Arial"/>
          <w:sz w:val="17"/>
          <w:szCs w:val="17"/>
          <w:color w:val="auto"/>
        </w:rPr>
        <w:t>The Company's collaboration arrangements may contain options which provide the collaboration partner with the right to obtain additional licenses. If an arrangement contains product options, by analogy to ASC 606, the Company evaluates the product options to determine whether they represent material rights, which may include options to acquire additional goods or services for free or at a discount. If the customer options are determined to represent material rights, they are recognized as a separate performance obligation at inception of the arrangement. The Company allocates a portion of the transaction price of the collaboration arrangement to material rights based on the relative standalone selling price. Amounts allocated to material rights are not recognized as revenue until related options are exercised or expire. Key assumptions to determine the standalone selling price of product options in a collaboration arrangement include, but are not limited to, forecasted revenues, development timelines, incremental costs related to the arrangement, discount rates and likelihood of technical and regulatory success.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340" w:firstLine="749"/>
        <w:spacing w:after="0" w:line="219" w:lineRule="auto"/>
        <w:rPr>
          <w:sz w:val="20"/>
          <w:szCs w:val="20"/>
          <w:color w:val="auto"/>
        </w:rPr>
      </w:pPr>
      <w:r>
        <w:rPr>
          <w:rFonts w:ascii="Arial" w:cs="Arial" w:eastAsia="Arial" w:hAnsi="Arial"/>
          <w:sz w:val="18"/>
          <w:szCs w:val="18"/>
          <w:color w:val="auto"/>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Up-front fees and milestones paid to third parties in connection with technologies which have not reached technological feasibility and do not have an alternative future use are expensed when incurred.</w:t>
      </w:r>
    </w:p>
    <w:p>
      <w:pPr>
        <w:spacing w:after="0" w:line="163" w:lineRule="exact"/>
        <w:rPr>
          <w:sz w:val="20"/>
          <w:szCs w:val="20"/>
          <w:color w:val="auto"/>
        </w:rPr>
      </w:pPr>
    </w:p>
    <w:p>
      <w:pPr>
        <w:ind w:right="60" w:firstLine="749"/>
        <w:spacing w:after="0" w:line="219" w:lineRule="auto"/>
        <w:rPr>
          <w:sz w:val="20"/>
          <w:szCs w:val="20"/>
          <w:color w:val="auto"/>
        </w:rPr>
      </w:pPr>
      <w:r>
        <w:rPr>
          <w:rFonts w:ascii="Arial" w:cs="Arial" w:eastAsia="Arial" w:hAnsi="Arial"/>
          <w:sz w:val="18"/>
          <w:szCs w:val="18"/>
          <w:color w:val="auto"/>
        </w:rPr>
        <w:t>Direct research and development expenses associated with the Company’s programs include clinical trial site costs, clinical manufacturing costs, costs incurred for consultants and other external services, such as data management and statistical analysis support and materials and supplies used in support of clinical programs. Indirect costs of the Company’s clinical programs include salaries, stock-based compensation and an allocation of its facility and technology costs.</w:t>
      </w:r>
    </w:p>
    <w:p>
      <w:pPr>
        <w:spacing w:after="0" w:line="163" w:lineRule="exact"/>
        <w:rPr>
          <w:sz w:val="20"/>
          <w:szCs w:val="20"/>
          <w:color w:val="auto"/>
        </w:rPr>
      </w:pPr>
    </w:p>
    <w:p>
      <w:pPr>
        <w:ind w:right="80" w:firstLine="749"/>
        <w:spacing w:after="0" w:line="216" w:lineRule="auto"/>
        <w:rPr>
          <w:sz w:val="20"/>
          <w:szCs w:val="20"/>
          <w:color w:val="auto"/>
        </w:rPr>
      </w:pPr>
      <w:r>
        <w:rPr>
          <w:rFonts w:ascii="Arial" w:cs="Arial" w:eastAsia="Arial" w:hAnsi="Arial"/>
          <w:sz w:val="18"/>
          <w:szCs w:val="18"/>
          <w:color w:val="auto"/>
        </w:rPr>
        <w:t>When third-party service providers’ billing terms do not coincide with the Company’s period-end, the Company is required to make estimates of its obligations to those third parties, including clinical trial and pharmaceutical development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past history for related activities and the expected duration of the third-party service contract, where applicable.</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300" w:firstLine="749"/>
        <w:spacing w:after="0" w:line="324" w:lineRule="auto"/>
        <w:rPr>
          <w:sz w:val="20"/>
          <w:szCs w:val="20"/>
          <w:color w:val="auto"/>
        </w:rPr>
      </w:pPr>
      <w:r>
        <w:rPr>
          <w:rFonts w:ascii="Arial" w:cs="Arial" w:eastAsia="Arial" w:hAnsi="Arial"/>
          <w:sz w:val="16"/>
          <w:szCs w:val="16"/>
          <w:color w:val="auto"/>
        </w:rPr>
        <w:t>The Company’s stock-based compensation programs include stock options, restricted stock awards (“RSAs”), restricted stock units (“RSUs”) and an employee stock purchase program (“ESPP”). The Company accounts for stock-based compensation using the fair value method.</w:t>
      </w:r>
    </w:p>
    <w:p>
      <w:pPr>
        <w:spacing w:after="0" w:line="124"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fair value of stock options are estimated on the date of grant using the Black-Scholes-Merton option-pricing model. The fair values of RSAs and RSUs are based on the fair market value of the Company’s common stock on the date of the grant. The fair value of stock awards, with consideration given to estimated forfeitures, is recognized as stock-based compensation expense on a straight-line basis over the vesting period of the grants. For stock awards with performance-vesting conditions, the Company does not recognize compensation expense until it is probable that the performance-vesting condition will be achieved.</w:t>
      </w:r>
    </w:p>
    <w:p>
      <w:pPr>
        <w:spacing w:after="0" w:line="18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Additionally, the Company granted its CEO options with service and market conditions. A market condition relates to the achievement of a specified price of the Company’s common stock, a specified amount of intrinsic value indexed to the Company’s common stock or a specified price of the Company’s common stock in terms of other similar equity shares. The grant date fair value for the options with service and market conditions is determined by a lattice model with Monte Carlo simulations and is recognized as stock-based compensation expense on a straight-line basis over the service period.</w:t>
      </w:r>
    </w:p>
    <w:p>
      <w:pPr>
        <w:spacing w:after="0" w:line="155" w:lineRule="exact"/>
        <w:rPr>
          <w:sz w:val="20"/>
          <w:szCs w:val="20"/>
          <w:color w:val="auto"/>
        </w:rPr>
      </w:pPr>
    </w:p>
    <w:p>
      <w:pPr>
        <w:ind w:right="80" w:firstLine="749"/>
        <w:spacing w:after="0" w:line="262" w:lineRule="auto"/>
        <w:rPr>
          <w:sz w:val="20"/>
          <w:szCs w:val="20"/>
          <w:color w:val="auto"/>
        </w:rPr>
      </w:pPr>
      <w:r>
        <w:rPr>
          <w:rFonts w:ascii="Arial" w:cs="Arial" w:eastAsia="Arial" w:hAnsi="Arial"/>
          <w:sz w:val="17"/>
          <w:szCs w:val="17"/>
          <w:color w:val="auto"/>
        </w:rPr>
        <w:t>Under the Company’s ESPP, participating employees purchase common stock through payroll deductions. The purchase price is equal to 85% of the lower of the closing price of the Company’s common stock on the first business day and the last business day of the relevant purchase period. The fair value of stock purchase rights is estimated using the Black-Scholes-Merton option-pricing model. The fair value of the look-back provision with the 15% discount is recognized on a graded-vesting basis as stock-based compensation expense over the purchase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6" w:name="page107"/>
    <w:bookmarkEnd w:id="106"/>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Company follows the asset and liability method of accounting for income taxes, which requires the recognition of deferred tax assets and liabilities for expected future tax consequences attributable to differences between the consolidated financial statement carrying amounts of existing assets and liabilities and their respective tax bases. Deferred tax assets and liabilities are measured using enacted tax rates in effect for the year in which the differences are expected to reverse. A valuation allowance is recorded to reduce the net deferred tax asset to zero when it is more likely than not that the net deferred tax asset will not be realized.</w:t>
      </w:r>
    </w:p>
    <w:p>
      <w:pPr>
        <w:spacing w:after="0" w:line="189" w:lineRule="exact"/>
        <w:rPr>
          <w:sz w:val="20"/>
          <w:szCs w:val="20"/>
          <w:color w:val="auto"/>
        </w:rPr>
      </w:pPr>
    </w:p>
    <w:p>
      <w:pPr>
        <w:ind w:right="220" w:firstLine="749"/>
        <w:spacing w:after="0" w:line="270"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upon an examination. The amount of the benefit that may be recognized in the financial statements is the largest amount that has a greater than 50% likelihood of being realized. The Company recognizes interest and penalties related to uncertain tax positions within income tax expense.</w:t>
      </w:r>
    </w:p>
    <w:p>
      <w:pPr>
        <w:spacing w:after="0" w:line="164"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It is the intention of the Company to reinvest the earnings of its non-U.S. subsidiaries in those operations and not to repatriate the earnings to the U.S. Accordingly, the Company does not provide for deferred taxes on the excess of the financial reporting over the tax basis in its investments in foreign subsidiaries as they are considered permanent in duration.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right="160" w:firstLine="749"/>
        <w:spacing w:after="0" w:line="239" w:lineRule="auto"/>
        <w:rPr>
          <w:sz w:val="20"/>
          <w:szCs w:val="20"/>
          <w:color w:val="auto"/>
        </w:rPr>
      </w:pPr>
      <w:r>
        <w:rPr>
          <w:rFonts w:ascii="Arial" w:cs="Arial" w:eastAsia="Arial" w:hAnsi="Arial"/>
          <w:sz w:val="17"/>
          <w:szCs w:val="17"/>
          <w:color w:val="auto"/>
        </w:rPr>
        <w:t>At the inception of an arrangement, the Company determines whether the arrangement is or contains a lease based on the unique facts and circumstances present in the arrangement. Leases with a term greater than 12 months are recognized on the consolidated balance sheets as right-of-use (“ROU”) assets and short-term and long-term lease liabilities, as applicable. The Company has elected not to recognize leases with terms of 12 months or less on the consolidated balance sheets. The Company typically only includes an initial lease term in its assessment of a lease arrangement. Options to renew a lease are not included in the Company’s assessment unless there is reasonable certainty that the Company will renew. The Company monitors its plans to renew its leases no less than on a quarterly basis. In addition, the Company’s lease agreements generally do not contain any residual value guarantees or restrictive covenants.</w:t>
      </w:r>
    </w:p>
    <w:p>
      <w:pPr>
        <w:spacing w:after="0" w:line="176" w:lineRule="exact"/>
        <w:rPr>
          <w:sz w:val="20"/>
          <w:szCs w:val="20"/>
          <w:color w:val="auto"/>
        </w:rPr>
      </w:pPr>
    </w:p>
    <w:p>
      <w:pPr>
        <w:ind w:right="20" w:firstLine="749"/>
        <w:spacing w:after="0" w:line="250" w:lineRule="auto"/>
        <w:rPr>
          <w:sz w:val="20"/>
          <w:szCs w:val="20"/>
          <w:color w:val="auto"/>
        </w:rPr>
      </w:pPr>
      <w:r>
        <w:rPr>
          <w:rFonts w:ascii="Arial" w:cs="Arial" w:eastAsia="Arial" w:hAnsi="Arial"/>
          <w:sz w:val="16"/>
          <w:szCs w:val="16"/>
          <w:color w:val="auto"/>
        </w:rPr>
        <w:t xml:space="preserve">Operating lease liabilities and their corresponding ROU assets are recorded based on the present value of future lease payments over the expected remaining lease term at lease commencement. The initial measurement of the lease liability is determined based on the future lease payments, which may include lease payments that depend on an index or a rate (such as the consumer price index or other market index). The Company initially measures payments based on an index or rate by using the applicable rate at lease commencement and subsequent changes in such rates are recognized as variable lease costs. Variable payments that do not depend on a rate or index are not included in the lease liability and are recognized as they are incurred. Lease cost for operating leases is recognized on a straight-line basis over the lease term as an operating expense with unrecognized variable lease payments recognized as incurred.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 Components of a lease are bifurcated between lease components and non-lease components. The fixed and in-substance fixed contract consideration identified is then allocated based on the relative standalone price to the lease and non-lease components. However,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provides entities with a practical expedient that allows an accounting policy election to not separate lease and non-lease components by class of</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asset. In using this expedient, entities would account for each lease component and the related non-lease component together as a single component. For new and amended real estate leases beginning after January 1, 2019, the Company elected to account for the lease and non-lease components together for existing classes of underlying assets and allocates the contract consideration to the lease component only. In contrast, the Company does not apply the practical expedient for leases embedded in manufacturing and supply agreements with certain of its contract manufacturing organizations and has instead allocated contract consideration between the lease and non-lease components based on their relative standalone price.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77" w:lineRule="exact"/>
        <w:rPr>
          <w:sz w:val="20"/>
          <w:szCs w:val="20"/>
          <w:color w:val="auto"/>
        </w:rPr>
      </w:pPr>
    </w:p>
    <w:p>
      <w:pPr>
        <w:ind w:right="100" w:firstLine="749"/>
        <w:spacing w:after="0" w:line="244" w:lineRule="auto"/>
        <w:rPr>
          <w:sz w:val="20"/>
          <w:szCs w:val="20"/>
          <w:color w:val="auto"/>
        </w:rPr>
      </w:pPr>
      <w:r>
        <w:rPr>
          <w:rFonts w:ascii="Arial" w:cs="Arial" w:eastAsia="Arial" w:hAnsi="Arial"/>
          <w:sz w:val="16"/>
          <w:szCs w:val="16"/>
          <w:color w:val="auto"/>
        </w:rPr>
        <w:t>The Company evaluates certain of its financial and business development transactions to determine if embedded components of these contracts meet the definition of derivative under ASC 815. In general, embedded derivatives are required to be bifurcated from the host instrument if (i) the embedded feature is not clearly and closely related to the host contract and (ii) the embedded feature, if considered a freestanding instrument, meets the definition of a derivative. The embedded derivative is reported on the consolidated balance sheets at its fair value. Any change in fair value, as determined at each measurement period, is recorded as a component of the consolidated statements of operations and comprehensive loss.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7" w:name="page108"/>
    <w:bookmarkEnd w:id="107"/>
    <w:p>
      <w:pPr>
        <w:ind w:left="28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100" w:firstLine="749"/>
        <w:spacing w:after="0" w:line="270" w:lineRule="auto"/>
        <w:rPr>
          <w:sz w:val="20"/>
          <w:szCs w:val="20"/>
          <w:color w:val="auto"/>
        </w:rPr>
      </w:pPr>
      <w:r>
        <w:rPr>
          <w:rFonts w:ascii="Arial" w:cs="Arial" w:eastAsia="Arial" w:hAnsi="Arial"/>
          <w:sz w:val="16"/>
          <w:szCs w:val="16"/>
          <w:color w:val="auto"/>
        </w:rPr>
        <w:t>Certain of the Company’s license and collaboration agreements include future payments that are contingent upon the receipt, or receipt and subsequent sale, of a Priority Review Voucher (“PRV”). The Company has concluded that these contingent payments represent embedded derivatives. The Company records a liability for such contingent payments at fair value on the date the agreements are effective. The Company estimates the fair value of contingent consideration derivatives through a valuation model that includes an income approach based on the probability-weighted expected cash flows that incorporated industry-based probability adjusted assumptions relating to the achievement of the milestone and thus the likelihood of making the payments. Changes in the fair value of the contingent consideration derivatives can result from changes to one or multiple assumptions, including adjustments to the discount rates, the assumed development timeline and the probability of achievement of certain regulatory milestones. The Company revalues its contingent consideration derivatives upon a material change to one or more of the assumptions discussed above. Changes in the fair value of the Company’s contingent consideration derivatives are recognized in the Company’s consolidated statements of operations and comprehensive loss. Such changes are classified as other income (loss) which corresponds to the classification of any gain recognized upon the actual sale of a PRV.</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firstLine="749"/>
        <w:spacing w:after="0" w:line="224" w:lineRule="auto"/>
        <w:rPr>
          <w:sz w:val="20"/>
          <w:szCs w:val="20"/>
          <w:color w:val="auto"/>
        </w:rPr>
      </w:pPr>
      <w:r>
        <w:rPr>
          <w:rFonts w:ascii="Arial" w:cs="Arial" w:eastAsia="Arial" w:hAnsi="Arial"/>
          <w:sz w:val="18"/>
          <w:szCs w:val="18"/>
          <w:color w:val="auto"/>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i w:val="1"/>
          <w:iCs w:val="1"/>
          <w:u w:val="single" w:color="auto"/>
          <w:color w:val="auto"/>
        </w:rPr>
        <w:t>Recently adopted</w:t>
      </w:r>
    </w:p>
    <w:p>
      <w:pPr>
        <w:spacing w:after="0" w:line="185" w:lineRule="exact"/>
        <w:rPr>
          <w:sz w:val="20"/>
          <w:szCs w:val="20"/>
          <w:color w:val="auto"/>
        </w:rPr>
      </w:pPr>
    </w:p>
    <w:p>
      <w:pPr>
        <w:ind w:right="140" w:firstLine="749"/>
        <w:spacing w:after="0" w:line="233" w:lineRule="auto"/>
        <w:rPr>
          <w:sz w:val="20"/>
          <w:szCs w:val="20"/>
          <w:color w:val="auto"/>
        </w:rPr>
      </w:pPr>
      <w:r>
        <w:rPr>
          <w:rFonts w:ascii="Arial" w:cs="Arial" w:eastAsia="Arial" w:hAnsi="Arial"/>
          <w:sz w:val="16"/>
          <w:szCs w:val="16"/>
          <w:color w:val="auto"/>
        </w:rPr>
        <w:t>In August 2020, the Financial Accounting Standards Board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470-20) and Derivatives and Hedging - Contracts in Entity's Own Equity (Subtopic 815-40): Accounting for Convertible Instruments and Contracts in an Entity's Own Equity</w:t>
      </w:r>
      <w:r>
        <w:rPr>
          <w:rFonts w:ascii="Arial" w:cs="Arial" w:eastAsia="Arial" w:hAnsi="Arial"/>
          <w:sz w:val="16"/>
          <w:szCs w:val="16"/>
          <w:color w:val="auto"/>
        </w:rPr>
        <w:t>.” This ASU simplifies the complexity associated with applying U.S. GAAP for certain financial instruments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of liabilities and equity. More specifically, the amendments focus on the guidance for convertible instruments and derivative scope exceptions for contracts in an entity’s own equity. Under ASU 2020-06, the embedded conversion features are no longer separated from the host contract for convertible instruments with conversion features that are not required to be accounted for as derivatives under ASC 815, or that do not result in substantial premiums accounted for as paid-in capital. Consequently, a convertible debt instrument, such as the Company’s senior notes due on November 15, 2024 (the “2024 Notes”), will be accounted for as a single liability measured at its amortized cost, as long as no other features require bifurcation and recognition as derivatives. The new guidance also requires the if-converted method to be applied for all convertible instruments and requires additional disclosures. This guidance is required to be adopted by January 1, 2022, and early adoption is permitted, but no earlier than fiscal years beginning after December 15, 2020. The Company elected to early adopt this guidance on January 1, 2021, using the modified retrospective method. Under this transition method, the cumulative effect of the accounting change removed the impact of recognizing the equity component of the Company’s convertible notes (at issuance and the subsequent accounting impact of additional interest expense from debt discount amortization). The cumulative effect of the accounting change as of January 1, 2021 increased the carrying amount of the convertible notes by $96.8 million, reduced accumulated deficit by $60.2 million and reduced additional paid-in capital by $157.0 million. Interest expense of the 2024 Notes will be lower as a result of adoption of this guidance. The if-converted method for such instruments will be used to compute diluted net earnings per share if and when profitability is achieved. As a result of the adoption of this guidance, interest expense and net loss was reduced by $22.4 million, or $0.28 per share, for the year ended December 31, 2021.</w:t>
      </w:r>
    </w:p>
    <w:p>
      <w:pPr>
        <w:spacing w:after="0" w:line="163" w:lineRule="exact"/>
        <w:rPr>
          <w:sz w:val="20"/>
          <w:szCs w:val="20"/>
          <w:color w:val="auto"/>
        </w:rPr>
      </w:pPr>
    </w:p>
    <w:p>
      <w:pPr>
        <w:ind w:right="60" w:firstLine="749"/>
        <w:spacing w:after="0" w:line="219" w:lineRule="auto"/>
        <w:rPr>
          <w:sz w:val="20"/>
          <w:szCs w:val="20"/>
          <w:color w:val="auto"/>
        </w:rPr>
      </w:pPr>
      <w:r>
        <w:rPr>
          <w:rFonts w:ascii="Arial" w:cs="Arial" w:eastAsia="Arial" w:hAnsi="Arial"/>
          <w:sz w:val="18"/>
          <w:szCs w:val="18"/>
          <w:color w:val="auto"/>
        </w:rPr>
        <w:t>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is intended to simplify the accounting for income taxes. This ASU removes certain exceptions to the general principles in Topic 740 and clarifies and amends existing guidance to improve consistent application. The new guidance was effective beginning January 1, 2021. The adoption of this guidance did not have a material effect on the Company’s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AND COLLABORATION AGREEMENTS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Hoffman-La Roche Ltd.</w:t>
      </w:r>
    </w:p>
    <w:p>
      <w:pPr>
        <w:spacing w:after="0" w:line="104"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On December 21, 2019, the Company entered into a license, collaboration and option agreement with Roche and a stock purchase agreement (the “Roche Agreement”) with Roche, providing Roche with exclusive commercial rights to SRP-9001, the Company’s investigational gene therapy for Duchenne, outside the U.S. The Company retains all rights to SRP-9001 in the U.S. and will perform all development activities within the joint global development plan necessary to obtain and maintain regulatory approvals for SRP-9001 in the U.S. and the EU, unless otherwise agreed to by the parties. Further: (i) research and development expenses incurred under the joint global development plan will be equally shared between the Company and Roche,</w:t>
      </w:r>
    </w:p>
    <w:p>
      <w:pPr>
        <w:spacing w:after="0" w:line="1" w:lineRule="exact"/>
        <w:rPr>
          <w:sz w:val="20"/>
          <w:szCs w:val="20"/>
          <w:color w:val="auto"/>
        </w:rPr>
      </w:pPr>
    </w:p>
    <w:p>
      <w:pPr>
        <w:ind w:right="240" w:firstLine="8"/>
        <w:spacing w:after="0" w:line="243"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Roche is solely responsible for all costs incurred in connection with any development activities (other than those within the joint global development plan) that are necessary to obtain or maintain regulatory approvals outside the U.S, and (iii) the Company will continue to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8" w:name="page109"/>
    <w:bookmarkEnd w:id="108"/>
    <w:p>
      <w:pPr>
        <w:spacing w:after="0" w:line="279" w:lineRule="auto"/>
        <w:rPr>
          <w:sz w:val="20"/>
          <w:szCs w:val="20"/>
          <w:color w:val="auto"/>
        </w:rPr>
      </w:pPr>
      <w:r>
        <w:rPr>
          <w:rFonts w:ascii="Arial" w:cs="Arial" w:eastAsia="Arial" w:hAnsi="Arial"/>
          <w:sz w:val="16"/>
          <w:szCs w:val="16"/>
          <w:color w:val="auto"/>
        </w:rPr>
        <w:t>responsible for the manufacturing of clinical and commercial supplies of SRP-9001. The Company has also granted Roche options to acquire ex-U.S. rights to certain future Duchenne-specific programs (the “Options”) in exchange for separate option exercise payments, milestone and royalty considerations, and cost sharing provisions. The agreement became effective on February 4, 2020. The Roche Agreement is governed by a joint steering committee (“JSC”) formed by representatives from Roche and the Company. The JSC, among other activities, manages the overall strategic alignment between the parties, approves any material update to the joint global development plan and budget and oversees the operations of the subcommittees.</w:t>
      </w:r>
    </w:p>
    <w:p>
      <w:pPr>
        <w:spacing w:after="0" w:line="51" w:lineRule="exact"/>
        <w:rPr>
          <w:sz w:val="20"/>
          <w:szCs w:val="20"/>
          <w:color w:val="auto"/>
        </w:rPr>
      </w:pPr>
    </w:p>
    <w:p>
      <w:pPr>
        <w:ind w:right="100" w:firstLine="749"/>
        <w:spacing w:after="0" w:line="271" w:lineRule="auto"/>
        <w:rPr>
          <w:sz w:val="20"/>
          <w:szCs w:val="20"/>
          <w:color w:val="auto"/>
        </w:rPr>
      </w:pPr>
      <w:r>
        <w:rPr>
          <w:rFonts w:ascii="Arial" w:cs="Arial" w:eastAsia="Arial" w:hAnsi="Arial"/>
          <w:sz w:val="16"/>
          <w:szCs w:val="16"/>
          <w:color w:val="auto"/>
        </w:rPr>
        <w:t>The Company received an aggregate of approximately $1.2 billion in cash consideration from Roche, consisting of an up-front payment and an equity investment in the Company. The Company may receive up to $1.7 billion in development, regulatory and sales milestones related to SRP-9001. Upon commercialization, the Company is also eligible to receive tiered royalty payments based on net sales. Of the $1.2 billion cash received from Roche,</w:t>
      </w:r>
    </w:p>
    <w:p>
      <w:pPr>
        <w:ind w:right="40" w:firstLine="8"/>
        <w:spacing w:after="0" w:line="237"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$312.1 million, net of issuance costs, was allocated to the approximately 2.5 million shares of the Company’s common stock issued to Roche based on the closing price when the shares were issued, (ii) $485.0 million was allocated to the Options, and (iii) $348.7 million was allocated to a single, combined performance obligation (“Combined Performance Obligation”) comprised of: (i) the license of IP relating to SRP-9001 transferred to Roche, (ii) the related research and development services provided under the joint global development plan, (iii) the services provided to manufacture clinical supplies of SRP-9001, and (iv) the Company’s participation in the JSC, because the Company determined that the license of IP and related activities were not capable of being distinct from one another.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value assigned to the Options is reflected as deferred revenue and will not be recognized until an option is either: (i) exercised by Roche, or</w:t>
      </w:r>
    </w:p>
    <w:p>
      <w:pPr>
        <w:spacing w:after="0" w:line="35" w:lineRule="exact"/>
        <w:rPr>
          <w:sz w:val="20"/>
          <w:szCs w:val="20"/>
          <w:color w:val="auto"/>
        </w:rPr>
      </w:pPr>
    </w:p>
    <w:p>
      <w:pPr>
        <w:ind w:right="100" w:firstLine="8"/>
        <w:spacing w:after="0" w:line="254"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expires. If exercised, the value will be aggregated with the option exercise price and recognized over the applicable performance period. If expired, the value will be recognized immediately. The Company recognizes revenue related to the Combined Performance Obligation on a straight-line basis over the expected performance period of the joint global development plan, which is expected to extend through the fourth quarter of 2023. Revenue relating to future development, regulatory and sales milestones will be recognized when the milestone is probable of achievement (which is typically when the milestone has occurred). Any royalties payable by Roche in the future will be recognized in the period earned.</w:t>
      </w:r>
    </w:p>
    <w:p>
      <w:pPr>
        <w:spacing w:after="0" w:line="70" w:lineRule="exact"/>
        <w:rPr>
          <w:sz w:val="20"/>
          <w:szCs w:val="20"/>
          <w:color w:val="auto"/>
        </w:rPr>
      </w:pPr>
    </w:p>
    <w:p>
      <w:pPr>
        <w:jc w:val="both"/>
        <w:ind w:right="40" w:firstLine="749"/>
        <w:spacing w:after="0" w:line="284" w:lineRule="auto"/>
        <w:rPr>
          <w:sz w:val="20"/>
          <w:szCs w:val="20"/>
          <w:color w:val="auto"/>
        </w:rPr>
      </w:pPr>
      <w:r>
        <w:rPr>
          <w:rFonts w:ascii="Arial" w:cs="Arial" w:eastAsia="Arial" w:hAnsi="Arial"/>
          <w:sz w:val="16"/>
          <w:szCs w:val="16"/>
          <w:color w:val="auto"/>
        </w:rPr>
        <w:t>For the years ended December 31, 2021 and 2020, the Company recognized $89.5 million and $84.2 million of collaboration and other revenues, respectively, the majority of which relates to the Combined Performance Obligation. As of December 31, 2021, the Company has total deferred revenue of $663.5 million associated with the Roche Agreement, of which $89.2 million is classified as current. Through 2021, no Options were exercised or expired. As such, deferred revenue related to the separate material rights for the Options remained unchanged at $485.0 million as of December 31, 2021 and 2020.</w:t>
      </w:r>
    </w:p>
    <w:p>
      <w:pPr>
        <w:spacing w:after="0" w:line="47" w:lineRule="exact"/>
        <w:rPr>
          <w:sz w:val="20"/>
          <w:szCs w:val="20"/>
          <w:color w:val="auto"/>
        </w:rPr>
      </w:pPr>
    </w:p>
    <w:p>
      <w:pPr>
        <w:ind w:right="220" w:firstLine="749"/>
        <w:spacing w:after="0" w:line="262" w:lineRule="auto"/>
        <w:rPr>
          <w:sz w:val="20"/>
          <w:szCs w:val="20"/>
          <w:color w:val="auto"/>
        </w:rPr>
      </w:pPr>
      <w:r>
        <w:rPr>
          <w:rFonts w:ascii="Arial" w:cs="Arial" w:eastAsia="Arial" w:hAnsi="Arial"/>
          <w:sz w:val="17"/>
          <w:szCs w:val="17"/>
          <w:color w:val="auto"/>
        </w:rPr>
        <w:t>The costs associated with co-development activities performed under the Roche Agreement are included in operating expenses, with any reimbursement of costs by Roche reflected as a reduction of such expenses when the related expense is incurred. For the years ended December 31, 2021 and 2020, costs reimbursable by Roche and reflected as a reduction to operating expenses were $90.5 million and $66.5 million, respectively. As of December 31, 2021, there was $18.6 million of collaboration receivable included in other current assets.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Genethon</w:t>
      </w:r>
    </w:p>
    <w:p>
      <w:pPr>
        <w:spacing w:after="0" w:line="104" w:lineRule="exact"/>
        <w:rPr>
          <w:sz w:val="20"/>
          <w:szCs w:val="20"/>
          <w:color w:val="auto"/>
        </w:rPr>
      </w:pPr>
    </w:p>
    <w:p>
      <w:pPr>
        <w:ind w:right="100" w:firstLine="749"/>
        <w:spacing w:after="0" w:line="271" w:lineRule="auto"/>
        <w:rPr>
          <w:sz w:val="20"/>
          <w:szCs w:val="20"/>
          <w:color w:val="auto"/>
        </w:rPr>
      </w:pPr>
      <w:r>
        <w:rPr>
          <w:rFonts w:ascii="Arial" w:cs="Arial" w:eastAsia="Arial" w:hAnsi="Arial"/>
          <w:sz w:val="16"/>
          <w:szCs w:val="16"/>
          <w:color w:val="auto"/>
        </w:rPr>
        <w:t>The Company entered into a sponsored research agreement in May 2017 and subsequently entered into a license and collaboration agreement with Genethon in November 2019 (the “Genethon Collaboration Agreement”) for Genethon’s micro-dystrophin gene therapy program for the treatment of Duchenne. The Genethon Collaboration Agreement grants the Company with exclusive rights in the majority of the world (primarily excluding the EU) to Genethon’s micro-dystrophin gene therapy products (“Genethon Products”) and other micro-dystrophin gene therapy products (“Other Licensed Products”). The Company may be liable for up to $157.5 million and $78.8 million in development, regulatory and sales milestones for the Genethon Products and Other Licensed Products, respectively. Furthermore, upon commercialization, the Company will be required to make tiered royalty payments based on net sales of the Genethon Products and the Other Licensed Products. Under the Genethon Collaboration Agreement, a joint steering committee was established to plan, monitor and coordinate development activities for Genethon Products and Other Licensed Products. The Company and Genethon are responsible for 75% and 25%, respectively, of development costs related to both the Genethon Products and the Other Licensed Products.</w:t>
      </w:r>
    </w:p>
    <w:p>
      <w:pPr>
        <w:spacing w:after="0" w:line="169"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Upon signing the Genethon Collaboration Agreement, the Company made an up-front payment of $28.0 million, which was recorded as research and development expense in the Company’s consolidated statements of operations and comprehensive loss for the year ended December 31, 2019. Additionally, for the years ended December 31, 2021, 2020 and 2019, the Company recorded $11.7 million, $10.1 million and $9.0 million, respectively, of research and development expense related to reimbursable development costs incurred by Genethon for Genethon Products. For the year ended December 31, 2021, the Company recorded $4.0 million of research and development expense related to milestone achievements. No additional development or regulatory milestones were deemed probable of being achieved and, accordingly, no additional expense has been recognized.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9" w:name="page110"/>
    <w:bookmarkEnd w:id="109"/>
    <w:p>
      <w:pPr>
        <w:ind w:left="260"/>
        <w:spacing w:after="0"/>
        <w:rPr>
          <w:sz w:val="20"/>
          <w:szCs w:val="20"/>
          <w:color w:val="auto"/>
        </w:rPr>
      </w:pPr>
      <w:r>
        <w:rPr>
          <w:rFonts w:ascii="Arial" w:cs="Arial" w:eastAsia="Arial" w:hAnsi="Arial"/>
          <w:sz w:val="18"/>
          <w:szCs w:val="18"/>
          <w:b w:val="1"/>
          <w:bCs w:val="1"/>
          <w:i w:val="1"/>
          <w:iCs w:val="1"/>
          <w:color w:val="auto"/>
        </w:rPr>
        <w:t>StrideBio, Inc.</w:t>
      </w:r>
    </w:p>
    <w:p>
      <w:pPr>
        <w:spacing w:after="0" w:line="104"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In November 2019, the Company entered into a collaboration and license agreement and a stock purchase agreement (collectively, the “StrideBio Agreements”) with StrideBio, Inc. (“StrideBio”). The StrideBio Agreements grant the Company exclusive worldwide licenses to develop, collaborate and commercialize StrideBio’s adeno-associated viral capsids for gene therapy with respect to multiple development targets, to which the Company will have the exclusive right to perform development activities (“Sarepta Development Targets”) and targets that the two parties will jointly develop through completion of Phase 1/2 clinical trials (“Joint Development Targets”). For Sarepta Development Targets and Joint Development Targets, respectively, the Company may be liable for up to $450.0 million and $835.0 million in development, regulatory and sales milestone payments per target. Additionally, upon commercialization, the Company may be required to make tiered royalty payments based on net sales of each target.</w:t>
      </w:r>
    </w:p>
    <w:p>
      <w:pPr>
        <w:spacing w:after="0" w:line="5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Upon signing the StrideBio Agreements, the Company made an up-front payment of $46.9 million, consisting of a cash payment of $17.5 million and 301,980 shares of the Company’s common stock delivered to StrideBio with a fair value of $29.4 million. The up-front payment was recorded as research and development expense in the Company’s consolidated statements of operations and comprehensive loss for the year ended December 31, 2019. As of December 31, 2021, no development or regulatory milestones were deemed probable of being achieved and, accordingly, no additional expense has been recognized.</w:t>
      </w:r>
    </w:p>
    <w:p>
      <w:pPr>
        <w:spacing w:after="0" w:line="81"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 xml:space="preserve">In March 2021, the Company participated in StrideBio’s Series B round of financing and purchased approximately 0.2 million shares of preferred stock. As of December 31, 2021, the equity investment in StrideBio’s Series B preferred stock was approximately $1.8 million. Please read </w:t>
      </w:r>
      <w:r>
        <w:rPr>
          <w:rFonts w:ascii="Arial" w:cs="Arial" w:eastAsia="Arial" w:hAnsi="Arial"/>
          <w:sz w:val="18"/>
          <w:szCs w:val="18"/>
          <w:i w:val="1"/>
          <w:iCs w:val="1"/>
          <w:color w:val="auto"/>
        </w:rPr>
        <w:t>Note 5,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w:t>
      </w:r>
      <w:r>
        <w:rPr>
          <w:rFonts w:ascii="Arial" w:cs="Arial" w:eastAsia="Arial" w:hAnsi="Arial"/>
          <w:sz w:val="18"/>
          <w:szCs w:val="18"/>
          <w:color w:val="auto"/>
        </w:rPr>
        <w:t>for further information.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Myonexus Therapeutics</w:t>
      </w:r>
    </w:p>
    <w:p>
      <w:pPr>
        <w:spacing w:after="0" w:line="104" w:lineRule="exact"/>
        <w:rPr>
          <w:sz w:val="20"/>
          <w:szCs w:val="20"/>
          <w:color w:val="auto"/>
        </w:rPr>
      </w:pPr>
    </w:p>
    <w:p>
      <w:pPr>
        <w:ind w:right="220" w:firstLine="749"/>
        <w:spacing w:after="0" w:line="268" w:lineRule="auto"/>
        <w:rPr>
          <w:sz w:val="20"/>
          <w:szCs w:val="20"/>
          <w:color w:val="auto"/>
        </w:rPr>
      </w:pPr>
      <w:r>
        <w:rPr>
          <w:rFonts w:ascii="Arial" w:cs="Arial" w:eastAsia="Arial" w:hAnsi="Arial"/>
          <w:sz w:val="16"/>
          <w:szCs w:val="16"/>
          <w:color w:val="auto"/>
        </w:rPr>
        <w:t xml:space="preserve">In April 2019, the Company completed its acquisition of Myonexus Therapeutics, Inc. (“Myonexus”), a clinical-stage gene therapy biotechnology company that was developing gene therapies for LGMD for $178.3 million. The Company may also be required to make up to $200.0 million in additional payments to selling shareholders of Myonexus based on the achievement of certain sales-and regulatory- related milestones. The acquisition was accounted for as an asset acquisition as substantially all of the fair value of the gross assets acquired is concentrated in a group of similar identifiable assets (the five LGMD gene therapy programs). The Company determined that one regulatory-related milestone (not solely based on drug approval by the FDA) met the definition of a derivative and recorded a contingent consideration liability. As of December 31, 2021 and 2020, the contingent consideration liability was $42.0 million and $49.5 million, respectively. The changes in fair value are recorded as other expense in the Company’s consolidated statements of operations and comprehensive loss. Please read </w:t>
      </w:r>
      <w:r>
        <w:rPr>
          <w:rFonts w:ascii="Arial" w:cs="Arial" w:eastAsia="Arial" w:hAnsi="Arial"/>
          <w:sz w:val="16"/>
          <w:szCs w:val="16"/>
          <w:i w:val="1"/>
          <w:iCs w:val="1"/>
          <w:color w:val="auto"/>
        </w:rPr>
        <w:t>Note 5, Fair Value Measurements</w:t>
      </w:r>
      <w:r>
        <w:rPr>
          <w:rFonts w:ascii="Arial" w:cs="Arial" w:eastAsia="Arial" w:hAnsi="Arial"/>
          <w:sz w:val="16"/>
          <w:szCs w:val="16"/>
          <w:color w:val="auto"/>
        </w:rPr>
        <w:t xml:space="preserve"> for further information on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the contingent consideration liability.</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Lysogene S.A.</w:t>
      </w:r>
    </w:p>
    <w:p>
      <w:pPr>
        <w:spacing w:after="0" w:line="212"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In October 2018, the Company entered into a license and collaboration agreement to develop and commercialize LYS-SAF302, a gene therapy to treat Mucopolysaccharidosis type IIIA (“MPS IIIA”) as well as an equity investment agreement with Lysogene S.A. (“Lysogene”). Under the license and collaboration agreement, in addition to the payment of up-front fees, the Company may be liable for a total of $102.8 million in development, regulatory and sales milestones. Furthermore, the Company may be required to make tiered royalty payments based on net sales of the LYS-SAF302 product subsequent to its commercialization. Beginning January 1, 2020, the Company began to reimburse Lysogene for expenses incurred in connection with development activities of the MPS IIIA product candidate. As of December 31, 2021, the Company owns 1,140,728 shares of common stock issued by Lysogene and recorded $2.5 million of equity investment in Lysogene as an other non-current asset in the Company’s consolidated balance sheets.</w:t>
      </w:r>
    </w:p>
    <w:p>
      <w:pPr>
        <w:spacing w:after="0" w:line="163"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Company sent a termination notice to Lysogene on January 11, 2022 to notify them of the Company's intent to terminate the license and collaboration agreement. The termination will become effective July 11, 2022. The Company does not have to pay any early termination penalties to Lysogene but is liable for certain research and development reimbursements incurred in the six months following termination, which are not expected to be material. As of December 31, 2021, there was no accounting impact as a result of the termination of the license and collaboration agreement because the notice of termination did not occur until subsequent to year-end.</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Lacerta Therapeutics</w:t>
      </w:r>
    </w:p>
    <w:p>
      <w:pPr>
        <w:spacing w:after="0" w:line="212" w:lineRule="exact"/>
        <w:rPr>
          <w:sz w:val="20"/>
          <w:szCs w:val="20"/>
          <w:color w:val="auto"/>
        </w:rPr>
      </w:pPr>
    </w:p>
    <w:p>
      <w:pPr>
        <w:ind w:right="360" w:firstLine="749"/>
        <w:spacing w:after="0" w:line="241" w:lineRule="auto"/>
        <w:rPr>
          <w:sz w:val="20"/>
          <w:szCs w:val="20"/>
          <w:color w:val="auto"/>
        </w:rPr>
      </w:pPr>
      <w:r>
        <w:rPr>
          <w:rFonts w:ascii="Arial" w:cs="Arial" w:eastAsia="Arial" w:hAnsi="Arial"/>
          <w:sz w:val="18"/>
          <w:szCs w:val="18"/>
          <w:color w:val="auto"/>
        </w:rPr>
        <w:t>In August 2018, the Company entered into a license, development and option agreement (the “Lacerta License Agreement”) and a Series A Preferred Stock Purchase Agreement (the “Stock Purchase Agreement”) with Lacerta Therapeutics, Inc. (“Lacerta”). Pursuant to the Lacerta License Agreement, the Company licensed exclusive worldwide rights to develop, manufacture and commercialize a pre-clinical Pompe product candidate (the “Pompe License”). Lacerta also granted the Company exclusive options to enter into exclusive license agreements to develop, manufacture and commercialize other gene therapy product candidates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0" w:name="page111"/>
    <w:bookmarkEnd w:id="110"/>
    <w:p>
      <w:pPr>
        <w:ind w:right="80"/>
        <w:spacing w:after="0" w:line="241" w:lineRule="auto"/>
        <w:rPr>
          <w:sz w:val="20"/>
          <w:szCs w:val="20"/>
          <w:color w:val="auto"/>
        </w:rPr>
      </w:pPr>
      <w:r>
        <w:rPr>
          <w:rFonts w:ascii="Arial" w:cs="Arial" w:eastAsia="Arial" w:hAnsi="Arial"/>
          <w:sz w:val="18"/>
          <w:szCs w:val="18"/>
          <w:color w:val="auto"/>
        </w:rPr>
        <w:t>Sanfilipo syndrome and L-Amino Acid Decarboxylase Deficiency for additional consideration of $42.0 million (collectively, the “Options”) when (and if) the Options are exercised. Additionally, the Company may be liable for up to approximately $44.0 million in development, regulatory and sales milestones associated with the Pompe License and may be required to make tiered royalty payments based on net sales of the Pompe product subsequent to its commercialization. Under the Stock Purchase Agreement, the Company purchased approximately 4.5 million shares of Series A preferred stock issued by Lacerta.</w:t>
      </w:r>
    </w:p>
    <w:p>
      <w:pPr>
        <w:spacing w:after="0" w:line="189"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Under the agreements, the Company made an up-front payment of $38.0 million to Lacerta, of which $30.0 million was allocated to the Series A preferred stock investment and recorded as an other non-current asset in the accompanying consolidated balance sheets. Changes in the carrying value of the investment are reported as a component of earnings whenever there are triggering events that warrant impairment or observable price changes in orderly transactions for identical or similar investments of Lacerta in the future. For the years ended December 31, 2021, 2020 and 2019, the Company did not record any changes in carrying value of the investment as Lacerta did not issue identical or similar shares during the corresponding periods. As of December 31, 2021, no development or regulatory milestones were deemed probable of being achieved and, accordingly, no additional expense has been recognized.</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Nationwide Children’s Hospital</w:t>
      </w:r>
    </w:p>
    <w:p>
      <w:pPr>
        <w:spacing w:after="0" w:line="90" w:lineRule="exact"/>
        <w:rPr>
          <w:sz w:val="20"/>
          <w:szCs w:val="20"/>
          <w:color w:val="auto"/>
        </w:rPr>
      </w:pPr>
    </w:p>
    <w:p>
      <w:pPr>
        <w:ind w:right="80" w:firstLine="749"/>
        <w:spacing w:after="0" w:line="236" w:lineRule="auto"/>
        <w:rPr>
          <w:sz w:val="20"/>
          <w:szCs w:val="20"/>
          <w:color w:val="auto"/>
        </w:rPr>
      </w:pPr>
      <w:r>
        <w:rPr>
          <w:rFonts w:ascii="Arial" w:cs="Arial" w:eastAsia="Arial" w:hAnsi="Arial"/>
          <w:sz w:val="17"/>
          <w:szCs w:val="17"/>
          <w:color w:val="auto"/>
        </w:rPr>
        <w:t>In December 2016, the Company entered into an exclusive option agreement with Nationwide Children’s Hospital (“Nationwide”) from which the Company obtained an exclusive right to acquire a worldwide license of the micro-dystrophin gene therapy technology for Duchenne and Becker muscular dystrophy. In October 2018, the Company exercised the option and entered into a license agreement with Nationwide, which granted the Company exclusive worldwide rights to develop, manufacture and commercialize a micro-dystrophin gene therapy product candidate. In July 2021, the Company entered into an agreement with Nationwide to settle a dispute relating to a sublicense payment owed by the Company resulting from the up-front payment received from Roche under the Roche Agreement. The total sublicense payment payable to Nationwide under the agreement is $38.0 million, which was paid in July 2021. Approximately $9.3 million of this amount was previously expensed during the year ended December 31, 2020 with the remaining $28.7 million expensed during the year ended December 31, 2021. The expense relating to this payment is recognized to research and development expense. As a result of this payment, the Company has no further financial obligations to Nationwide resulting from the up-front payment received under the Roche Agreement. As of December 31, 2021, no development or regulatory milestones were deemed probable of being achieved and, accordingly, no additional in-licensed rights or expenses have been recognized.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BioMarin Pharmaceutical, Inc.</w:t>
      </w:r>
    </w:p>
    <w:p>
      <w:pPr>
        <w:spacing w:after="0" w:line="90" w:lineRule="exact"/>
        <w:rPr>
          <w:sz w:val="20"/>
          <w:szCs w:val="20"/>
          <w:color w:val="auto"/>
        </w:rPr>
      </w:pPr>
    </w:p>
    <w:p>
      <w:pPr>
        <w:ind w:right="120" w:firstLine="749"/>
        <w:spacing w:after="0" w:line="258" w:lineRule="auto"/>
        <w:rPr>
          <w:sz w:val="20"/>
          <w:szCs w:val="20"/>
          <w:color w:val="auto"/>
        </w:rPr>
      </w:pPr>
      <w:r>
        <w:rPr>
          <w:rFonts w:ascii="Arial" w:cs="Arial" w:eastAsia="Arial" w:hAnsi="Arial"/>
          <w:sz w:val="16"/>
          <w:szCs w:val="16"/>
          <w:color w:val="auto"/>
        </w:rPr>
        <w:t>In July 2017, the Company and UWA entered into a settlement agreement with BioMarin. On the same day, the Company entered into a license agreement, which was subsequently amended in April 2019, with BioMarin and Academisch Ziekenhuis Leiden (“AZL”) (collectively with the Company, UWA and BioMarin, the “Settlement Parties”). Under these agreements and amendment, BioMarin agreed to provide the Company with an exclusive license to certain intellectual property with an option to convert the exclusive license into a co-exclusive license and the Settlement Parties agreed to stop most existing efforts to continue with ongoing litigation and opposition and other administrative proceedings concerning BioMarin’s intellectual property. BioMarin is also eligible to receive tiered royalty payments, ranging from 4% to 8%, based on the net sales for the three products and product candidates.</w:t>
      </w:r>
    </w:p>
    <w:p>
      <w:pPr>
        <w:spacing w:after="0" w:line="55" w:lineRule="exact"/>
        <w:rPr>
          <w:sz w:val="20"/>
          <w:szCs w:val="20"/>
          <w:color w:val="auto"/>
        </w:rPr>
      </w:pPr>
    </w:p>
    <w:p>
      <w:pPr>
        <w:ind w:right="140" w:firstLine="749"/>
        <w:spacing w:after="0" w:line="242" w:lineRule="auto"/>
        <w:rPr>
          <w:sz w:val="20"/>
          <w:szCs w:val="20"/>
          <w:color w:val="auto"/>
        </w:rPr>
      </w:pPr>
      <w:r>
        <w:rPr>
          <w:rFonts w:ascii="Arial" w:cs="Arial" w:eastAsia="Arial" w:hAnsi="Arial"/>
          <w:sz w:val="17"/>
          <w:szCs w:val="17"/>
          <w:color w:val="auto"/>
        </w:rPr>
        <w:t>In November 2021, the Company entered into a second settlement agreement and second amendment to the license agreement (the “Second Amendment”), which waived certain future milestone payments and altered royalty payment terms of the agreement. Under the Second Amendment, the Company may be liable for up to approximately $50.0 million in regulatory milestones for eteplirsen, casimersen and golodirsen. In addition, on and after July 1, 2022, the tiered royalty payments will range from 4% to 5%. The royalty terms under the license agreement will expire in March 2024 in the U.S., December 2024 in the EU and no later than December 2024 in other countries.</w:t>
      </w:r>
    </w:p>
    <w:p>
      <w:pPr>
        <w:spacing w:after="0" w:line="67"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auto"/>
        </w:rPr>
        <w:t>As a result of execution of the license agreement with BioMarin, the Company recorded an in-licensed right intangible asset of $6.6 million in its consolidated balance sheets as of December 31, 2017, representing the fair value of the U.S. license to BioMarin’s intellectual property. The intangible asset is being amortized on a straight-line basis over the remaining life of the patent and has a carrying value of $3.2 million as of December 31, 2021.</w:t>
      </w:r>
    </w:p>
    <w:p>
      <w:pPr>
        <w:spacing w:after="0" w:line="40" w:lineRule="exact"/>
        <w:rPr>
          <w:sz w:val="20"/>
          <w:szCs w:val="20"/>
          <w:color w:val="auto"/>
        </w:rPr>
      </w:pPr>
    </w:p>
    <w:p>
      <w:pPr>
        <w:jc w:val="both"/>
        <w:ind w:right="100" w:firstLine="749"/>
        <w:spacing w:after="0" w:line="266" w:lineRule="auto"/>
        <w:rPr>
          <w:sz w:val="20"/>
          <w:szCs w:val="20"/>
          <w:color w:val="auto"/>
        </w:rPr>
      </w:pPr>
      <w:r>
        <w:rPr>
          <w:rFonts w:ascii="Arial" w:cs="Arial" w:eastAsia="Arial" w:hAnsi="Arial"/>
          <w:sz w:val="16"/>
          <w:szCs w:val="16"/>
          <w:color w:val="auto"/>
        </w:rPr>
        <w:t>The FDA approval of AMONDYS 45 and VYONDYS 53 in February 2021 and December 2019, respectively, resulted in settlement charges to BioMarin of $10.0 million during each period and each were expensed as incurred. For the years ended December 31, 2021, 2020 and 2019, the Company recognized royalty expense of $31.4 million, $23.2 million and $19.4 million, respectively. As of December 31, 2021, no other regulatory milestones were deemed probable of being achieved and, accordingly, no additional in-licensed rights or expenses have been recognized.</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University of Western Australia</w:t>
      </w:r>
    </w:p>
    <w:p>
      <w:pPr>
        <w:spacing w:after="0" w:line="104"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In April 2013, the Company and UWA entered into an amendment to an existing exclusive license agreement relating to the treatment of Duchenne by inducing the skipping of certain exons. The agreement was further amended in June 2016. Under the amended agreement, the Company may be obligated to make payments to UWA totaling up to $26.0 million upon the achievement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1" w:name="page112"/>
    <w:bookmarkEnd w:id="111"/>
    <w:p>
      <w:pPr>
        <w:ind w:right="40"/>
        <w:spacing w:after="0" w:line="254" w:lineRule="auto"/>
        <w:rPr>
          <w:sz w:val="20"/>
          <w:szCs w:val="20"/>
          <w:color w:val="auto"/>
        </w:rPr>
      </w:pPr>
      <w:r>
        <w:rPr>
          <w:rFonts w:ascii="Arial" w:cs="Arial" w:eastAsia="Arial" w:hAnsi="Arial"/>
          <w:sz w:val="17"/>
          <w:szCs w:val="17"/>
          <w:color w:val="auto"/>
        </w:rPr>
        <w:t>certain development, regulatory and sales milestones. Additionally, the Company is required to pay a low-single-digit percentage royalty on net sales of products covered by issued patents licensed under the agreements with UWA. Corresponding to the FDA approval of EXONDYS 51 in 2016, VYONDYS 53 in December 2019, and AMONDYS 45 in February 2021, the Company recorded milestone payments of $1.0 million, $0.5 million and $0.5 million as in-licensed right intangible assets in its consolidated balance sheets, respectively. Each in-licensed right is being amortized on a straight-line basis over the remaining life of the relevant patents and have a combined carrying value of $1.2 million as of December 31, 2021. For the years ended December 31, 2021, 2020 and 2019, the Company recorded $7.7 million, $5.7 million and $3.5 million in royalty expense, respectively, which is included in cost of sales, related to agreements with UWA. As of December 31, 2021, no other development, regulatory or sales milestones were deemed probable of being achieved and, accordingly, no additional in-licensed rights or expenses have been recognized.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Option Agreements</w:t>
      </w:r>
    </w:p>
    <w:p>
      <w:pPr>
        <w:spacing w:after="0" w:line="212"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The Company has research and option agreements with third parties in order to develop various technologies and biologics that may be used in the administration of the Company’s genetic therapeutics. The agreements generally provide for research services related to pre-clinical development programs, and options to license the technology for clinical development. Prior to the options under these agreements being executed, the Company may be required to make up to $11.0 million in research milestone payments. Under these agreements, there are $187.0 million in potential option payments to be made by the Company upon the determination to exercise the options. Additionally, if the options for each agreement are executed, the Company would incur additional contingent obligations and may be required to make development, regulatory, and sales milestone payments and tiered royalty payments based on the sales of the developed products upon commercialization. For the year ended December 31, 2021, the Company recognized $3.0 million of research milestone expenses, with no similar activity for the years ended December 31, 2020 and 2019. As of December 31, 2021, the Company has not exercised any options nor have any additional research milestone payments become probable of occurring.</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Milestone Obligations</w:t>
      </w:r>
    </w:p>
    <w:p>
      <w:pPr>
        <w:spacing w:after="0" w:line="104"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Including the agreements discussed above, the Company has license and collaboration agreements in place for which it could be obligated to pay, in addition to the payment of up-front fees upon execution of the agreements, certain milestone payments as a product candidate proceeds from the submission of an investigational new drug application through approval for commercial sale and beyond. As of December 31, 2021, the Company may be obligated to make up to $4.0 billion of future development, regulatory, commercial, and up-front royalty payments associated with its collaboration and license agreements. These obligations exclude potential future option and milestone payments for options that have yet to be exercised within agreements</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entered into by the Company as of December 31, 2021, which are discussed above. For the years ended December 31, 2021, 2020 and 2019, the Company recognized approximately $50.3 million, $47.3 million, $113.2 million relating to certain up-front, milestone, settlement and other payments as research and development expense, respectively, under these agreements. The Company is also obligated to pay royalties on net sales of certain of its products related to these collaboration and license agreements. The royalty rates range from the low-single-digit to high teens percentages for both inside and outside the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GAIN FROM SALE OF PRIORITY REVIEW VOUCHER</w:t>
      </w:r>
    </w:p>
    <w:p>
      <w:pPr>
        <w:spacing w:after="0" w:line="108"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In February 2021, the Company entered into an agreement to sell the rare pediatric disease PRV (the “AMONDYS 45 PRV”) it received from the FDA in connection with the approval of AMONDYS 45. Following the termination of the applicable waiting period under the Hart-Scott-Rodino Antitrust Improvements Act of 1976, as amended, in April 2021, the Company completed its sale of the AMONDYS 45 PRV and received proceeds of $102.0 million, with no commission costs, which was recorded as a gain from sale of the PRV as it did not have a carrying value at the time of the sale.</w:t>
      </w:r>
    </w:p>
    <w:p>
      <w:pPr>
        <w:spacing w:after="0" w:line="47"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In February 2020, the Company entered into an agreement to sell the rare pediatric disease PRV (the “VYONDYS 53 PRV”) it received from the FDA in connection with the approval of VYONDYS 53. Following the early termination of the applicable waiting period under the Hart-Scott-Rodino Antitrust Improvements Act of 1976, as amended, in March 2020, the Company completed its sale of the VYONDYS 53 PRV and received proceeds of $108.1 million, net of commission, which was recorded as a gain from sale of the PRV as it did not have a carrying value at the time of the sale.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5. FAIR VALUE MEASUREMENTS</w:t>
      </w:r>
    </w:p>
    <w:p>
      <w:pPr>
        <w:spacing w:after="0" w:line="94" w:lineRule="exact"/>
        <w:rPr>
          <w:sz w:val="20"/>
          <w:szCs w:val="20"/>
          <w:color w:val="auto"/>
        </w:rPr>
      </w:pPr>
    </w:p>
    <w:p>
      <w:pPr>
        <w:jc w:val="both"/>
        <w:ind w:right="220" w:firstLine="749"/>
        <w:spacing w:after="0" w:line="235" w:lineRule="auto"/>
        <w:rPr>
          <w:sz w:val="20"/>
          <w:szCs w:val="20"/>
          <w:color w:val="auto"/>
        </w:rPr>
      </w:pPr>
      <w:r>
        <w:rPr>
          <w:rFonts w:ascii="Arial" w:cs="Arial" w:eastAsia="Arial" w:hAnsi="Arial"/>
          <w:sz w:val="18"/>
          <w:szCs w:val="18"/>
          <w:color w:val="auto"/>
        </w:rPr>
        <w:t>There were no transfers between Levels 1, 2 and 3 during the year ended December 31, 2021. The tables below present information about the Company’s financial assets and liabilities that are measured and carried at fair value and indicate the level within the fair value hierarchy of the valuation techniques it utilizes to determine such fair value:</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60" w:type="dxa"/>
            <w:vAlign w:val="bottom"/>
            <w:gridSpan w:val="6"/>
          </w:tcPr>
          <w:p>
            <w:pPr>
              <w:jc w:val="center"/>
              <w:ind w:left="512"/>
              <w:spacing w:after="0"/>
              <w:rPr>
                <w:sz w:val="20"/>
                <w:szCs w:val="20"/>
                <w:color w:val="auto"/>
              </w:rPr>
            </w:pPr>
            <w:r>
              <w:rPr>
                <w:rFonts w:ascii="Arial" w:cs="Arial" w:eastAsia="Arial" w:hAnsi="Arial"/>
                <w:sz w:val="14"/>
                <w:szCs w:val="14"/>
                <w:b w:val="1"/>
                <w:bCs w:val="1"/>
                <w:color w:val="auto"/>
                <w:w w:val="93"/>
              </w:rPr>
              <w:t>Fair Value Measurement as of December 31, 2021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CFC"/>
          </w:tcPr>
          <w:p>
            <w:pPr>
              <w:spacing w:after="0" w:line="202" w:lineRule="exact"/>
              <w:rPr>
                <w:sz w:val="20"/>
                <w:szCs w:val="20"/>
                <w:color w:val="auto"/>
              </w:rPr>
            </w:pPr>
            <w:r>
              <w:rPr>
                <w:rFonts w:ascii="Arial" w:cs="Arial" w:eastAsia="Arial" w:hAnsi="Arial"/>
                <w:sz w:val="18"/>
                <w:szCs w:val="18"/>
                <w:color w:val="auto"/>
              </w:rPr>
              <w:t>Assets</w:t>
            </w:r>
          </w:p>
        </w:tc>
        <w:tc>
          <w:tcPr>
            <w:tcW w:w="1140" w:type="dxa"/>
            <w:vAlign w:val="bottom"/>
            <w:shd w:val="clear" w:color="auto" w:fill="CCECFC"/>
          </w:tcPr>
          <w:p>
            <w:pPr>
              <w:spacing w:after="0"/>
              <w:rPr>
                <w:sz w:val="17"/>
                <w:szCs w:val="17"/>
                <w:color w:val="auto"/>
              </w:rPr>
            </w:pPr>
          </w:p>
        </w:tc>
        <w:tc>
          <w:tcPr>
            <w:tcW w:w="760" w:type="dxa"/>
            <w:vAlign w:val="bottom"/>
            <w:shd w:val="clear" w:color="auto" w:fill="CCECFC"/>
          </w:tcPr>
          <w:p>
            <w:pPr>
              <w:spacing w:after="0"/>
              <w:rPr>
                <w:sz w:val="17"/>
                <w:szCs w:val="17"/>
                <w:color w:val="auto"/>
              </w:rPr>
            </w:pPr>
          </w:p>
        </w:tc>
        <w:tc>
          <w:tcPr>
            <w:tcW w:w="220" w:type="dxa"/>
            <w:vAlign w:val="bottom"/>
            <w:shd w:val="clear" w:color="auto" w:fill="CCECFC"/>
          </w:tcPr>
          <w:p>
            <w:pPr>
              <w:spacing w:after="0"/>
              <w:rPr>
                <w:sz w:val="17"/>
                <w:szCs w:val="17"/>
                <w:color w:val="auto"/>
              </w:rPr>
            </w:pPr>
          </w:p>
        </w:tc>
        <w:tc>
          <w:tcPr>
            <w:tcW w:w="300" w:type="dxa"/>
            <w:vAlign w:val="bottom"/>
            <w:shd w:val="clear" w:color="auto" w:fill="CCECFC"/>
          </w:tcPr>
          <w:p>
            <w:pPr>
              <w:spacing w:after="0"/>
              <w:rPr>
                <w:sz w:val="17"/>
                <w:szCs w:val="17"/>
                <w:color w:val="auto"/>
              </w:rPr>
            </w:pPr>
          </w:p>
        </w:tc>
        <w:tc>
          <w:tcPr>
            <w:tcW w:w="1100" w:type="dxa"/>
            <w:vAlign w:val="bottom"/>
            <w:shd w:val="clear" w:color="auto" w:fill="CCECFC"/>
          </w:tcPr>
          <w:p>
            <w:pPr>
              <w:spacing w:after="0"/>
              <w:rPr>
                <w:sz w:val="17"/>
                <w:szCs w:val="17"/>
                <w:color w:val="auto"/>
              </w:rPr>
            </w:pPr>
          </w:p>
        </w:tc>
        <w:tc>
          <w:tcPr>
            <w:tcW w:w="220" w:type="dxa"/>
            <w:vAlign w:val="bottom"/>
            <w:shd w:val="clear" w:color="auto" w:fill="CCECFC"/>
          </w:tcPr>
          <w:p>
            <w:pPr>
              <w:spacing w:after="0"/>
              <w:rPr>
                <w:sz w:val="17"/>
                <w:szCs w:val="17"/>
                <w:color w:val="auto"/>
              </w:rPr>
            </w:pPr>
          </w:p>
        </w:tc>
        <w:tc>
          <w:tcPr>
            <w:tcW w:w="1060" w:type="dxa"/>
            <w:vAlign w:val="bottom"/>
            <w:shd w:val="clear" w:color="auto" w:fill="CCECFC"/>
          </w:tcPr>
          <w:p>
            <w:pPr>
              <w:spacing w:after="0"/>
              <w:rPr>
                <w:sz w:val="17"/>
                <w:szCs w:val="17"/>
                <w:color w:val="auto"/>
              </w:rPr>
            </w:pPr>
          </w:p>
        </w:tc>
        <w:tc>
          <w:tcPr>
            <w:tcW w:w="220" w:type="dxa"/>
            <w:vAlign w:val="bottom"/>
            <w:shd w:val="clear" w:color="auto" w:fill="CCECFC"/>
          </w:tcPr>
          <w:p>
            <w:pPr>
              <w:spacing w:after="0"/>
              <w:rPr>
                <w:sz w:val="17"/>
                <w:szCs w:val="17"/>
                <w:color w:val="auto"/>
              </w:rPr>
            </w:pPr>
          </w:p>
        </w:tc>
        <w:tc>
          <w:tcPr>
            <w:tcW w:w="180" w:type="dxa"/>
            <w:vAlign w:val="bottom"/>
            <w:shd w:val="clear" w:color="auto" w:fill="CCECFC"/>
          </w:tcPr>
          <w:p>
            <w:pPr>
              <w:spacing w:after="0"/>
              <w:rPr>
                <w:sz w:val="17"/>
                <w:szCs w:val="17"/>
                <w:color w:val="auto"/>
              </w:rPr>
            </w:pPr>
          </w:p>
        </w:tc>
        <w:tc>
          <w:tcPr>
            <w:tcW w:w="280" w:type="dxa"/>
            <w:vAlign w:val="bottom"/>
            <w:shd w:val="clear" w:color="auto" w:fill="CCECFC"/>
          </w:tcPr>
          <w:p>
            <w:pPr>
              <w:spacing w:after="0"/>
              <w:rPr>
                <w:sz w:val="17"/>
                <w:szCs w:val="17"/>
                <w:color w:val="auto"/>
              </w:rPr>
            </w:pPr>
          </w:p>
        </w:tc>
        <w:tc>
          <w:tcPr>
            <w:tcW w:w="1060" w:type="dxa"/>
            <w:vAlign w:val="bottom"/>
            <w:shd w:val="clear" w:color="auto" w:fill="CCECFC"/>
          </w:tcPr>
          <w:p>
            <w:pPr>
              <w:spacing w:after="0"/>
              <w:rPr>
                <w:sz w:val="17"/>
                <w:szCs w:val="17"/>
                <w:color w:val="auto"/>
              </w:rPr>
            </w:pPr>
          </w:p>
        </w:tc>
        <w:tc>
          <w:tcPr>
            <w:tcW w:w="60" w:type="dxa"/>
            <w:vAlign w:val="bottom"/>
            <w:shd w:val="clear" w:color="auto" w:fill="CCE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1140" w:type="dxa"/>
            <w:vAlign w:val="bottom"/>
          </w:tcPr>
          <w:p>
            <w:pPr>
              <w:jc w:val="right"/>
              <w:ind w:right="954"/>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2"/>
              </w:rPr>
              <w:t>1,562,358</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1,562,358</w:t>
            </w:r>
          </w:p>
        </w:tc>
        <w:tc>
          <w:tcPr>
            <w:tcW w:w="220" w:type="dxa"/>
            <w:vAlign w:val="bottom"/>
          </w:tcPr>
          <w:p>
            <w:pPr>
              <w:spacing w:after="0"/>
              <w:rPr>
                <w:sz w:val="17"/>
                <w:szCs w:val="17"/>
                <w:color w:val="auto"/>
              </w:rPr>
            </w:pPr>
          </w:p>
        </w:tc>
        <w:tc>
          <w:tcPr>
            <w:tcW w:w="1060" w:type="dxa"/>
            <w:vAlign w:val="bottom"/>
          </w:tcPr>
          <w:p>
            <w:pPr>
              <w:jc w:val="right"/>
              <w:ind w:right="874"/>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Strategic equity investments</w:t>
            </w:r>
          </w:p>
        </w:tc>
        <w:tc>
          <w:tcPr>
            <w:tcW w:w="1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34,892</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2,480</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32,412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Certificates of deposit</w:t>
            </w:r>
          </w:p>
        </w:tc>
        <w:tc>
          <w:tcPr>
            <w:tcW w:w="1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auto"/>
            </w:tcBorders>
            <w:shd w:val="clear" w:color="auto" w:fill="CFF0FC"/>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1,597,500</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1,565,088</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4"/>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32,412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Liabilities</w:t>
            </w:r>
          </w:p>
        </w:tc>
        <w:tc>
          <w:tcPr>
            <w:tcW w:w="1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Contingent consideration</w:t>
            </w:r>
          </w:p>
        </w:tc>
        <w:tc>
          <w:tcPr>
            <w:tcW w:w="1140" w:type="dxa"/>
            <w:vAlign w:val="bottom"/>
          </w:tcPr>
          <w:p>
            <w:pPr>
              <w:jc w:val="right"/>
              <w:ind w:right="954"/>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43,600</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874"/>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43,600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liabilities</w:t>
            </w:r>
          </w:p>
        </w:tc>
        <w:tc>
          <w:tcPr>
            <w:tcW w:w="1140" w:type="dxa"/>
            <w:vAlign w:val="bottom"/>
            <w:tcBorders>
              <w:top w:val="single" w:sz="8" w:color="auto"/>
              <w:bottom w:val="single" w:sz="8" w:color="auto"/>
            </w:tcBorders>
            <w:shd w:val="clear" w:color="auto" w:fill="CFF0FC"/>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43,600</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874"/>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43,600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35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4"/>
                <w:szCs w:val="14"/>
                <w:b w:val="1"/>
                <w:bCs w:val="1"/>
                <w:color w:val="auto"/>
                <w:w w:val="93"/>
              </w:rPr>
              <w:t>Fair Value Measurement as of December 31, 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CFC"/>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CFC"/>
          </w:tcPr>
          <w:p>
            <w:pPr>
              <w:spacing w:after="0"/>
              <w:rPr>
                <w:sz w:val="18"/>
                <w:szCs w:val="18"/>
                <w:color w:val="auto"/>
              </w:rPr>
            </w:pPr>
          </w:p>
        </w:tc>
        <w:tc>
          <w:tcPr>
            <w:tcW w:w="760" w:type="dxa"/>
            <w:vAlign w:val="bottom"/>
            <w:shd w:val="clear" w:color="auto" w:fill="CCECFC"/>
          </w:tcPr>
          <w:p>
            <w:pPr>
              <w:spacing w:after="0"/>
              <w:rPr>
                <w:sz w:val="18"/>
                <w:szCs w:val="18"/>
                <w:color w:val="auto"/>
              </w:rPr>
            </w:pPr>
          </w:p>
        </w:tc>
        <w:tc>
          <w:tcPr>
            <w:tcW w:w="220" w:type="dxa"/>
            <w:vAlign w:val="bottom"/>
            <w:shd w:val="clear" w:color="auto" w:fill="CCECFC"/>
          </w:tcPr>
          <w:p>
            <w:pPr>
              <w:spacing w:after="0"/>
              <w:rPr>
                <w:sz w:val="18"/>
                <w:szCs w:val="18"/>
                <w:color w:val="auto"/>
              </w:rPr>
            </w:pPr>
          </w:p>
        </w:tc>
        <w:tc>
          <w:tcPr>
            <w:tcW w:w="300" w:type="dxa"/>
            <w:vAlign w:val="bottom"/>
            <w:shd w:val="clear" w:color="auto" w:fill="CCECFC"/>
          </w:tcPr>
          <w:p>
            <w:pPr>
              <w:spacing w:after="0"/>
              <w:rPr>
                <w:sz w:val="18"/>
                <w:szCs w:val="18"/>
                <w:color w:val="auto"/>
              </w:rPr>
            </w:pPr>
          </w:p>
        </w:tc>
        <w:tc>
          <w:tcPr>
            <w:tcW w:w="1100" w:type="dxa"/>
            <w:vAlign w:val="bottom"/>
            <w:shd w:val="clear" w:color="auto" w:fill="CCECFC"/>
          </w:tcPr>
          <w:p>
            <w:pPr>
              <w:spacing w:after="0"/>
              <w:rPr>
                <w:sz w:val="18"/>
                <w:szCs w:val="18"/>
                <w:color w:val="auto"/>
              </w:rPr>
            </w:pPr>
          </w:p>
        </w:tc>
        <w:tc>
          <w:tcPr>
            <w:tcW w:w="220" w:type="dxa"/>
            <w:vAlign w:val="bottom"/>
            <w:shd w:val="clear" w:color="auto" w:fill="CCECFC"/>
          </w:tcPr>
          <w:p>
            <w:pPr>
              <w:spacing w:after="0"/>
              <w:rPr>
                <w:sz w:val="18"/>
                <w:szCs w:val="18"/>
                <w:color w:val="auto"/>
              </w:rPr>
            </w:pPr>
          </w:p>
        </w:tc>
        <w:tc>
          <w:tcPr>
            <w:tcW w:w="1060" w:type="dxa"/>
            <w:vAlign w:val="bottom"/>
            <w:shd w:val="clear" w:color="auto" w:fill="CCECFC"/>
          </w:tcPr>
          <w:p>
            <w:pPr>
              <w:spacing w:after="0"/>
              <w:rPr>
                <w:sz w:val="18"/>
                <w:szCs w:val="18"/>
                <w:color w:val="auto"/>
              </w:rPr>
            </w:pPr>
          </w:p>
        </w:tc>
        <w:tc>
          <w:tcPr>
            <w:tcW w:w="220" w:type="dxa"/>
            <w:vAlign w:val="bottom"/>
            <w:shd w:val="clear" w:color="auto" w:fill="CCECFC"/>
          </w:tcPr>
          <w:p>
            <w:pPr>
              <w:spacing w:after="0"/>
              <w:rPr>
                <w:sz w:val="18"/>
                <w:szCs w:val="18"/>
                <w:color w:val="auto"/>
              </w:rPr>
            </w:pPr>
          </w:p>
        </w:tc>
        <w:tc>
          <w:tcPr>
            <w:tcW w:w="180" w:type="dxa"/>
            <w:vAlign w:val="bottom"/>
            <w:shd w:val="clear" w:color="auto" w:fill="CCECFC"/>
          </w:tcPr>
          <w:p>
            <w:pPr>
              <w:spacing w:after="0"/>
              <w:rPr>
                <w:sz w:val="18"/>
                <w:szCs w:val="18"/>
                <w:color w:val="auto"/>
              </w:rPr>
            </w:pPr>
          </w:p>
        </w:tc>
        <w:tc>
          <w:tcPr>
            <w:tcW w:w="280" w:type="dxa"/>
            <w:vAlign w:val="bottom"/>
            <w:shd w:val="clear" w:color="auto" w:fill="CCECFC"/>
          </w:tcPr>
          <w:p>
            <w:pPr>
              <w:spacing w:after="0"/>
              <w:rPr>
                <w:sz w:val="18"/>
                <w:szCs w:val="18"/>
                <w:color w:val="auto"/>
              </w:rPr>
            </w:pPr>
          </w:p>
        </w:tc>
        <w:tc>
          <w:tcPr>
            <w:tcW w:w="1060" w:type="dxa"/>
            <w:vAlign w:val="bottom"/>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1140" w:type="dxa"/>
            <w:vAlign w:val="bottom"/>
          </w:tcPr>
          <w:p>
            <w:pPr>
              <w:jc w:val="right"/>
              <w:ind w:right="954"/>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629,440</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629,440</w:t>
            </w:r>
          </w:p>
        </w:tc>
        <w:tc>
          <w:tcPr>
            <w:tcW w:w="220" w:type="dxa"/>
            <w:vAlign w:val="bottom"/>
          </w:tcPr>
          <w:p>
            <w:pPr>
              <w:spacing w:after="0"/>
              <w:rPr>
                <w:sz w:val="17"/>
                <w:szCs w:val="17"/>
                <w:color w:val="auto"/>
              </w:rPr>
            </w:pPr>
          </w:p>
        </w:tc>
        <w:tc>
          <w:tcPr>
            <w:tcW w:w="1060" w:type="dxa"/>
            <w:vAlign w:val="bottom"/>
          </w:tcPr>
          <w:p>
            <w:pPr>
              <w:jc w:val="right"/>
              <w:ind w:right="874"/>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CFC"/>
          </w:tcPr>
          <w:p>
            <w:pPr>
              <w:ind w:left="100"/>
              <w:spacing w:after="0" w:line="162" w:lineRule="exact"/>
              <w:rPr>
                <w:sz w:val="20"/>
                <w:szCs w:val="20"/>
                <w:color w:val="auto"/>
              </w:rPr>
            </w:pPr>
            <w:r>
              <w:rPr>
                <w:rFonts w:ascii="Arial" w:cs="Arial" w:eastAsia="Arial" w:hAnsi="Arial"/>
                <w:sz w:val="18"/>
                <w:szCs w:val="18"/>
                <w:color w:val="auto"/>
              </w:rPr>
              <w:t>Government and government agency</w:t>
            </w:r>
          </w:p>
        </w:tc>
        <w:tc>
          <w:tcPr>
            <w:tcW w:w="1140" w:type="dxa"/>
            <w:vAlign w:val="bottom"/>
            <w:shd w:val="clear" w:color="auto" w:fill="CCECFC"/>
          </w:tcPr>
          <w:p>
            <w:pPr>
              <w:spacing w:after="0"/>
              <w:rPr>
                <w:sz w:val="14"/>
                <w:szCs w:val="14"/>
                <w:color w:val="auto"/>
              </w:rPr>
            </w:pPr>
          </w:p>
        </w:tc>
        <w:tc>
          <w:tcPr>
            <w:tcW w:w="760" w:type="dxa"/>
            <w:vAlign w:val="bottom"/>
            <w:vMerge w:val="restart"/>
            <w:shd w:val="clear" w:color="auto" w:fill="CCECFC"/>
          </w:tcPr>
          <w:p>
            <w:pPr>
              <w:jc w:val="right"/>
              <w:spacing w:after="0"/>
              <w:rPr>
                <w:sz w:val="20"/>
                <w:szCs w:val="20"/>
                <w:color w:val="auto"/>
              </w:rPr>
            </w:pPr>
            <w:r>
              <w:rPr>
                <w:rFonts w:ascii="Arial" w:cs="Arial" w:eastAsia="Arial" w:hAnsi="Arial"/>
                <w:sz w:val="18"/>
                <w:szCs w:val="18"/>
                <w:color w:val="auto"/>
                <w:w w:val="92"/>
              </w:rPr>
              <w:t>1,037,981</w:t>
            </w:r>
          </w:p>
        </w:tc>
        <w:tc>
          <w:tcPr>
            <w:tcW w:w="220" w:type="dxa"/>
            <w:vAlign w:val="bottom"/>
            <w:shd w:val="clear" w:color="auto" w:fill="CCECFC"/>
          </w:tcPr>
          <w:p>
            <w:pPr>
              <w:spacing w:after="0"/>
              <w:rPr>
                <w:sz w:val="14"/>
                <w:szCs w:val="14"/>
                <w:color w:val="auto"/>
              </w:rPr>
            </w:pPr>
          </w:p>
        </w:tc>
        <w:tc>
          <w:tcPr>
            <w:tcW w:w="300" w:type="dxa"/>
            <w:vAlign w:val="bottom"/>
            <w:shd w:val="clear" w:color="auto" w:fill="CCECFC"/>
          </w:tcPr>
          <w:p>
            <w:pPr>
              <w:spacing w:after="0"/>
              <w:rPr>
                <w:sz w:val="14"/>
                <w:szCs w:val="14"/>
                <w:color w:val="auto"/>
              </w:rPr>
            </w:pPr>
          </w:p>
        </w:tc>
        <w:tc>
          <w:tcPr>
            <w:tcW w:w="1100" w:type="dxa"/>
            <w:vAlign w:val="bottom"/>
            <w:vMerge w:val="restart"/>
            <w:shd w:val="clear" w:color="auto" w:fill="CCECFC"/>
          </w:tcPr>
          <w:p>
            <w:pPr>
              <w:jc w:val="right"/>
              <w:spacing w:after="0"/>
              <w:rPr>
                <w:sz w:val="20"/>
                <w:szCs w:val="20"/>
                <w:color w:val="auto"/>
              </w:rPr>
            </w:pPr>
            <w:r>
              <w:rPr>
                <w:rFonts w:ascii="Arial" w:cs="Arial" w:eastAsia="Arial" w:hAnsi="Arial"/>
                <w:sz w:val="18"/>
                <w:szCs w:val="18"/>
                <w:color w:val="auto"/>
              </w:rPr>
              <w:t>1,037,981</w:t>
            </w:r>
          </w:p>
        </w:tc>
        <w:tc>
          <w:tcPr>
            <w:tcW w:w="220" w:type="dxa"/>
            <w:vAlign w:val="bottom"/>
            <w:shd w:val="clear" w:color="auto" w:fill="CCECFC"/>
          </w:tcPr>
          <w:p>
            <w:pPr>
              <w:spacing w:after="0"/>
              <w:rPr>
                <w:sz w:val="14"/>
                <w:szCs w:val="14"/>
                <w:color w:val="auto"/>
              </w:rPr>
            </w:pPr>
          </w:p>
        </w:tc>
        <w:tc>
          <w:tcPr>
            <w:tcW w:w="1060" w:type="dxa"/>
            <w:vAlign w:val="bottom"/>
            <w:shd w:val="clear" w:color="auto" w:fill="CCECFC"/>
          </w:tcPr>
          <w:p>
            <w:pPr>
              <w:spacing w:after="0"/>
              <w:rPr>
                <w:sz w:val="14"/>
                <w:szCs w:val="14"/>
                <w:color w:val="auto"/>
              </w:rPr>
            </w:pPr>
          </w:p>
        </w:tc>
        <w:tc>
          <w:tcPr>
            <w:tcW w:w="220" w:type="dxa"/>
            <w:vAlign w:val="bottom"/>
            <w:vMerge w:val="restart"/>
            <w:shd w:val="clear" w:color="auto" w:fill="CCECFC"/>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CFC"/>
          </w:tcPr>
          <w:p>
            <w:pPr>
              <w:spacing w:after="0"/>
              <w:rPr>
                <w:sz w:val="14"/>
                <w:szCs w:val="14"/>
                <w:color w:val="auto"/>
              </w:rPr>
            </w:pPr>
          </w:p>
        </w:tc>
        <w:tc>
          <w:tcPr>
            <w:tcW w:w="280" w:type="dxa"/>
            <w:vAlign w:val="bottom"/>
            <w:shd w:val="clear" w:color="auto" w:fill="CCECFC"/>
          </w:tcPr>
          <w:p>
            <w:pPr>
              <w:spacing w:after="0"/>
              <w:rPr>
                <w:sz w:val="14"/>
                <w:szCs w:val="14"/>
                <w:color w:val="auto"/>
              </w:rPr>
            </w:pPr>
          </w:p>
        </w:tc>
        <w:tc>
          <w:tcPr>
            <w:tcW w:w="1060" w:type="dxa"/>
            <w:vAlign w:val="bottom"/>
            <w:vMerge w:val="restart"/>
            <w:shd w:val="clear" w:color="auto" w:fill="CCEC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C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CFC"/>
          </w:tcPr>
          <w:p>
            <w:pPr>
              <w:ind w:left="240"/>
              <w:spacing w:after="0"/>
              <w:rPr>
                <w:sz w:val="20"/>
                <w:szCs w:val="20"/>
                <w:color w:val="auto"/>
              </w:rPr>
            </w:pPr>
            <w:r>
              <w:rPr>
                <w:rFonts w:ascii="Arial" w:cs="Arial" w:eastAsia="Arial" w:hAnsi="Arial"/>
                <w:sz w:val="18"/>
                <w:szCs w:val="18"/>
                <w:color w:val="auto"/>
              </w:rPr>
              <w:t>bonds</w:t>
            </w:r>
          </w:p>
        </w:tc>
        <w:tc>
          <w:tcPr>
            <w:tcW w:w="1140" w:type="dxa"/>
            <w:vAlign w:val="bottom"/>
            <w:shd w:val="clear" w:color="auto" w:fill="CCECFC"/>
          </w:tcPr>
          <w:p>
            <w:pPr>
              <w:spacing w:after="0"/>
              <w:rPr>
                <w:sz w:val="18"/>
                <w:szCs w:val="18"/>
                <w:color w:val="auto"/>
              </w:rPr>
            </w:pPr>
          </w:p>
        </w:tc>
        <w:tc>
          <w:tcPr>
            <w:tcW w:w="760" w:type="dxa"/>
            <w:vAlign w:val="bottom"/>
            <w:vMerge w:val="continue"/>
            <w:shd w:val="clear" w:color="auto" w:fill="CCECFC"/>
          </w:tcPr>
          <w:p>
            <w:pPr>
              <w:spacing w:after="0"/>
              <w:rPr>
                <w:sz w:val="18"/>
                <w:szCs w:val="18"/>
                <w:color w:val="auto"/>
              </w:rPr>
            </w:pPr>
          </w:p>
        </w:tc>
        <w:tc>
          <w:tcPr>
            <w:tcW w:w="220" w:type="dxa"/>
            <w:vAlign w:val="bottom"/>
            <w:shd w:val="clear" w:color="auto" w:fill="CCECFC"/>
          </w:tcPr>
          <w:p>
            <w:pPr>
              <w:spacing w:after="0"/>
              <w:rPr>
                <w:sz w:val="18"/>
                <w:szCs w:val="18"/>
                <w:color w:val="auto"/>
              </w:rPr>
            </w:pPr>
          </w:p>
        </w:tc>
        <w:tc>
          <w:tcPr>
            <w:tcW w:w="300" w:type="dxa"/>
            <w:vAlign w:val="bottom"/>
            <w:shd w:val="clear" w:color="auto" w:fill="CCECFC"/>
          </w:tcPr>
          <w:p>
            <w:pPr>
              <w:spacing w:after="0"/>
              <w:rPr>
                <w:sz w:val="18"/>
                <w:szCs w:val="18"/>
                <w:color w:val="auto"/>
              </w:rPr>
            </w:pPr>
          </w:p>
        </w:tc>
        <w:tc>
          <w:tcPr>
            <w:tcW w:w="1100" w:type="dxa"/>
            <w:vAlign w:val="bottom"/>
            <w:vMerge w:val="continue"/>
            <w:shd w:val="clear" w:color="auto" w:fill="CCECFC"/>
          </w:tcPr>
          <w:p>
            <w:pPr>
              <w:spacing w:after="0"/>
              <w:rPr>
                <w:sz w:val="18"/>
                <w:szCs w:val="18"/>
                <w:color w:val="auto"/>
              </w:rPr>
            </w:pPr>
          </w:p>
        </w:tc>
        <w:tc>
          <w:tcPr>
            <w:tcW w:w="220" w:type="dxa"/>
            <w:vAlign w:val="bottom"/>
            <w:shd w:val="clear" w:color="auto" w:fill="CCECFC"/>
          </w:tcPr>
          <w:p>
            <w:pPr>
              <w:spacing w:after="0"/>
              <w:rPr>
                <w:sz w:val="18"/>
                <w:szCs w:val="18"/>
                <w:color w:val="auto"/>
              </w:rPr>
            </w:pPr>
          </w:p>
        </w:tc>
        <w:tc>
          <w:tcPr>
            <w:tcW w:w="1060" w:type="dxa"/>
            <w:vAlign w:val="bottom"/>
            <w:shd w:val="clear" w:color="auto" w:fill="CCECFC"/>
          </w:tcPr>
          <w:p>
            <w:pPr>
              <w:spacing w:after="0"/>
              <w:rPr>
                <w:sz w:val="18"/>
                <w:szCs w:val="18"/>
                <w:color w:val="auto"/>
              </w:rPr>
            </w:pPr>
          </w:p>
        </w:tc>
        <w:tc>
          <w:tcPr>
            <w:tcW w:w="220" w:type="dxa"/>
            <w:vAlign w:val="bottom"/>
            <w:vMerge w:val="continue"/>
            <w:shd w:val="clear" w:color="auto" w:fill="CCECFC"/>
          </w:tcPr>
          <w:p>
            <w:pPr>
              <w:spacing w:after="0"/>
              <w:rPr>
                <w:sz w:val="18"/>
                <w:szCs w:val="18"/>
                <w:color w:val="auto"/>
              </w:rPr>
            </w:pPr>
          </w:p>
        </w:tc>
        <w:tc>
          <w:tcPr>
            <w:tcW w:w="180" w:type="dxa"/>
            <w:vAlign w:val="bottom"/>
            <w:shd w:val="clear" w:color="auto" w:fill="CCECFC"/>
          </w:tcPr>
          <w:p>
            <w:pPr>
              <w:spacing w:after="0"/>
              <w:rPr>
                <w:sz w:val="18"/>
                <w:szCs w:val="18"/>
                <w:color w:val="auto"/>
              </w:rPr>
            </w:pPr>
          </w:p>
        </w:tc>
        <w:tc>
          <w:tcPr>
            <w:tcW w:w="280" w:type="dxa"/>
            <w:vAlign w:val="bottom"/>
            <w:shd w:val="clear" w:color="auto" w:fill="CCECFC"/>
          </w:tcPr>
          <w:p>
            <w:pPr>
              <w:spacing w:after="0"/>
              <w:rPr>
                <w:sz w:val="18"/>
                <w:szCs w:val="18"/>
                <w:color w:val="auto"/>
              </w:rPr>
            </w:pPr>
          </w:p>
        </w:tc>
        <w:tc>
          <w:tcPr>
            <w:tcW w:w="1060" w:type="dxa"/>
            <w:vAlign w:val="bottom"/>
            <w:vMerge w:val="continue"/>
            <w:shd w:val="clear" w:color="auto" w:fill="CCECFC"/>
          </w:tcPr>
          <w:p>
            <w:pPr>
              <w:spacing w:after="0"/>
              <w:rPr>
                <w:sz w:val="18"/>
                <w:szCs w:val="18"/>
                <w:color w:val="auto"/>
              </w:rPr>
            </w:pPr>
          </w:p>
        </w:tc>
        <w:tc>
          <w:tcPr>
            <w:tcW w:w="60" w:type="dxa"/>
            <w:vAlign w:val="bottom"/>
            <w:shd w:val="clear" w:color="auto" w:fill="CCEC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Strategic equity investments</w:t>
            </w:r>
          </w:p>
        </w:tc>
        <w:tc>
          <w:tcPr>
            <w:tcW w:w="1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38,799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3,699</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CFC"/>
            </w:tcBorders>
            <w:shd w:val="clear" w:color="auto" w:fill="CCECFC"/>
          </w:tcPr>
          <w:p>
            <w:pPr>
              <w:spacing w:after="0" w:line="202" w:lineRule="exact"/>
              <w:rPr>
                <w:sz w:val="20"/>
                <w:szCs w:val="20"/>
                <w:color w:val="auto"/>
              </w:rPr>
            </w:pPr>
            <w:r>
              <w:rPr>
                <w:rFonts w:ascii="Arial" w:cs="Arial" w:eastAsia="Arial" w:hAnsi="Arial"/>
                <w:sz w:val="18"/>
                <w:szCs w:val="18"/>
                <w:color w:val="auto"/>
              </w:rPr>
              <w:t>Certificates of deposit</w:t>
            </w:r>
          </w:p>
        </w:tc>
        <w:tc>
          <w:tcPr>
            <w:tcW w:w="1140" w:type="dxa"/>
            <w:vAlign w:val="bottom"/>
            <w:tcBorders>
              <w:bottom w:val="single" w:sz="8" w:color="auto"/>
            </w:tcBorders>
            <w:shd w:val="clear" w:color="auto" w:fill="CCECFC"/>
          </w:tcPr>
          <w:p>
            <w:pPr>
              <w:spacing w:after="0"/>
              <w:rPr>
                <w:sz w:val="17"/>
                <w:szCs w:val="17"/>
                <w:color w:val="auto"/>
              </w:rPr>
            </w:pPr>
          </w:p>
        </w:tc>
        <w:tc>
          <w:tcPr>
            <w:tcW w:w="760" w:type="dxa"/>
            <w:vAlign w:val="bottom"/>
            <w:tcBorders>
              <w:bottom w:val="single" w:sz="8" w:color="auto"/>
            </w:tcBorders>
            <w:shd w:val="clear" w:color="auto" w:fill="CCECFC"/>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tcBorders>
              <w:bottom w:val="single" w:sz="8" w:color="CCECFC"/>
            </w:tcBorders>
            <w:shd w:val="clear" w:color="auto" w:fill="CCECFC"/>
          </w:tcPr>
          <w:p>
            <w:pPr>
              <w:spacing w:after="0"/>
              <w:rPr>
                <w:sz w:val="17"/>
                <w:szCs w:val="17"/>
                <w:color w:val="auto"/>
              </w:rPr>
            </w:pPr>
          </w:p>
        </w:tc>
        <w:tc>
          <w:tcPr>
            <w:tcW w:w="300" w:type="dxa"/>
            <w:vAlign w:val="bottom"/>
            <w:tcBorders>
              <w:bottom w:val="single" w:sz="8" w:color="auto"/>
            </w:tcBorders>
            <w:shd w:val="clear" w:color="auto" w:fill="CCECFC"/>
          </w:tcPr>
          <w:p>
            <w:pPr>
              <w:spacing w:after="0"/>
              <w:rPr>
                <w:sz w:val="17"/>
                <w:szCs w:val="17"/>
                <w:color w:val="auto"/>
              </w:rPr>
            </w:pPr>
          </w:p>
        </w:tc>
        <w:tc>
          <w:tcPr>
            <w:tcW w:w="1100" w:type="dxa"/>
            <w:vAlign w:val="bottom"/>
            <w:tcBorders>
              <w:bottom w:val="single" w:sz="8" w:color="auto"/>
            </w:tcBorders>
            <w:shd w:val="clear" w:color="auto" w:fill="CCECFC"/>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tcBorders>
              <w:bottom w:val="single" w:sz="8" w:color="CCECFC"/>
            </w:tcBorders>
            <w:shd w:val="clear" w:color="auto" w:fill="CCECFC"/>
          </w:tcPr>
          <w:p>
            <w:pPr>
              <w:spacing w:after="0"/>
              <w:rPr>
                <w:sz w:val="17"/>
                <w:szCs w:val="17"/>
                <w:color w:val="auto"/>
              </w:rPr>
            </w:pPr>
          </w:p>
        </w:tc>
        <w:tc>
          <w:tcPr>
            <w:tcW w:w="1060" w:type="dxa"/>
            <w:vAlign w:val="bottom"/>
            <w:tcBorders>
              <w:bottom w:val="single" w:sz="8" w:color="auto"/>
            </w:tcBorders>
            <w:shd w:val="clear" w:color="auto" w:fill="CCECFC"/>
          </w:tcPr>
          <w:p>
            <w:pPr>
              <w:spacing w:after="0"/>
              <w:rPr>
                <w:sz w:val="17"/>
                <w:szCs w:val="17"/>
                <w:color w:val="auto"/>
              </w:rPr>
            </w:pPr>
          </w:p>
        </w:tc>
        <w:tc>
          <w:tcPr>
            <w:tcW w:w="220" w:type="dxa"/>
            <w:vAlign w:val="bottom"/>
            <w:tcBorders>
              <w:bottom w:val="single" w:sz="8" w:color="auto"/>
            </w:tcBorders>
            <w:shd w:val="clear" w:color="auto" w:fill="CCECFC"/>
          </w:tcPr>
          <w:p>
            <w:pPr>
              <w:ind w:left="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CFC"/>
            </w:tcBorders>
            <w:shd w:val="clear" w:color="auto" w:fill="CCECFC"/>
          </w:tcPr>
          <w:p>
            <w:pPr>
              <w:spacing w:after="0"/>
              <w:rPr>
                <w:sz w:val="17"/>
                <w:szCs w:val="17"/>
                <w:color w:val="auto"/>
              </w:rPr>
            </w:pPr>
          </w:p>
        </w:tc>
        <w:tc>
          <w:tcPr>
            <w:tcW w:w="280" w:type="dxa"/>
            <w:vAlign w:val="bottom"/>
            <w:tcBorders>
              <w:bottom w:val="single" w:sz="8" w:color="auto"/>
            </w:tcBorders>
            <w:shd w:val="clear" w:color="auto" w:fill="CCECFC"/>
          </w:tcPr>
          <w:p>
            <w:pPr>
              <w:spacing w:after="0"/>
              <w:rPr>
                <w:sz w:val="17"/>
                <w:szCs w:val="17"/>
                <w:color w:val="auto"/>
              </w:rPr>
            </w:pPr>
          </w:p>
        </w:tc>
        <w:tc>
          <w:tcPr>
            <w:tcW w:w="1060" w:type="dxa"/>
            <w:vAlign w:val="bottom"/>
            <w:tcBorders>
              <w:bottom w:val="single" w:sz="8" w:color="auto"/>
            </w:tcBorders>
            <w:shd w:val="clear" w:color="auto" w:fill="CCEC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CFC"/>
            </w:tcBorders>
            <w:shd w:val="clear" w:color="auto" w:fill="CCEC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100"/>
              <w:spacing w:after="0" w:line="182" w:lineRule="exact"/>
              <w:rPr>
                <w:sz w:val="20"/>
                <w:szCs w:val="20"/>
                <w:color w:val="auto"/>
              </w:rPr>
            </w:pPr>
            <w:r>
              <w:rPr>
                <w:rFonts w:ascii="Arial" w:cs="Arial" w:eastAsia="Arial" w:hAnsi="Arial"/>
                <w:sz w:val="18"/>
                <w:szCs w:val="18"/>
                <w:color w:val="auto"/>
              </w:rPr>
              <w:t>Total assets</w:t>
            </w:r>
          </w:p>
        </w:tc>
        <w:tc>
          <w:tcPr>
            <w:tcW w:w="1140" w:type="dxa"/>
            <w:vAlign w:val="bottom"/>
          </w:tcPr>
          <w:p>
            <w:pPr>
              <w:jc w:val="right"/>
              <w:ind w:right="954"/>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w w:val="92"/>
              </w:rPr>
              <w:t>1,706,470</w:t>
            </w:r>
          </w:p>
        </w:tc>
        <w:tc>
          <w:tcPr>
            <w:tcW w:w="52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1,671,370</w:t>
            </w:r>
          </w:p>
        </w:tc>
        <w:tc>
          <w:tcPr>
            <w:tcW w:w="220" w:type="dxa"/>
            <w:vAlign w:val="bottom"/>
          </w:tcPr>
          <w:p>
            <w:pPr>
              <w:spacing w:after="0"/>
              <w:rPr>
                <w:sz w:val="17"/>
                <w:szCs w:val="17"/>
                <w:color w:val="auto"/>
              </w:rPr>
            </w:pPr>
          </w:p>
        </w:tc>
        <w:tc>
          <w:tcPr>
            <w:tcW w:w="1060" w:type="dxa"/>
            <w:vAlign w:val="bottom"/>
          </w:tcPr>
          <w:p>
            <w:pPr>
              <w:jc w:val="right"/>
              <w:ind w:right="874"/>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35,100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shd w:val="clear" w:color="auto" w:fill="CCECFC"/>
          </w:tcPr>
          <w:p>
            <w:pPr>
              <w:spacing w:after="0"/>
              <w:rPr>
                <w:sz w:val="15"/>
                <w:szCs w:val="15"/>
                <w:color w:val="auto"/>
              </w:rPr>
            </w:pPr>
          </w:p>
        </w:tc>
        <w:tc>
          <w:tcPr>
            <w:tcW w:w="1140" w:type="dxa"/>
            <w:vAlign w:val="bottom"/>
            <w:shd w:val="clear" w:color="auto" w:fill="CCECFC"/>
          </w:tcPr>
          <w:p>
            <w:pPr>
              <w:spacing w:after="0"/>
              <w:rPr>
                <w:sz w:val="15"/>
                <w:szCs w:val="15"/>
                <w:color w:val="auto"/>
              </w:rPr>
            </w:pPr>
          </w:p>
        </w:tc>
        <w:tc>
          <w:tcPr>
            <w:tcW w:w="760" w:type="dxa"/>
            <w:vAlign w:val="bottom"/>
            <w:shd w:val="clear" w:color="auto" w:fill="CCECFC"/>
          </w:tcPr>
          <w:p>
            <w:pPr>
              <w:spacing w:after="0"/>
              <w:rPr>
                <w:sz w:val="15"/>
                <w:szCs w:val="15"/>
                <w:color w:val="auto"/>
              </w:rPr>
            </w:pPr>
          </w:p>
        </w:tc>
        <w:tc>
          <w:tcPr>
            <w:tcW w:w="220" w:type="dxa"/>
            <w:vAlign w:val="bottom"/>
            <w:shd w:val="clear" w:color="auto" w:fill="CCECFC"/>
          </w:tcPr>
          <w:p>
            <w:pPr>
              <w:spacing w:after="0"/>
              <w:rPr>
                <w:sz w:val="15"/>
                <w:szCs w:val="15"/>
                <w:color w:val="auto"/>
              </w:rPr>
            </w:pPr>
          </w:p>
        </w:tc>
        <w:tc>
          <w:tcPr>
            <w:tcW w:w="300" w:type="dxa"/>
            <w:vAlign w:val="bottom"/>
            <w:shd w:val="clear" w:color="auto" w:fill="CCECFC"/>
          </w:tcPr>
          <w:p>
            <w:pPr>
              <w:spacing w:after="0"/>
              <w:rPr>
                <w:sz w:val="15"/>
                <w:szCs w:val="15"/>
                <w:color w:val="auto"/>
              </w:rPr>
            </w:pPr>
          </w:p>
        </w:tc>
        <w:tc>
          <w:tcPr>
            <w:tcW w:w="1100" w:type="dxa"/>
            <w:vAlign w:val="bottom"/>
            <w:shd w:val="clear" w:color="auto" w:fill="CCECFC"/>
          </w:tcPr>
          <w:p>
            <w:pPr>
              <w:spacing w:after="0"/>
              <w:rPr>
                <w:sz w:val="15"/>
                <w:szCs w:val="15"/>
                <w:color w:val="auto"/>
              </w:rPr>
            </w:pPr>
          </w:p>
        </w:tc>
        <w:tc>
          <w:tcPr>
            <w:tcW w:w="220" w:type="dxa"/>
            <w:vAlign w:val="bottom"/>
            <w:shd w:val="clear" w:color="auto" w:fill="CCECFC"/>
          </w:tcPr>
          <w:p>
            <w:pPr>
              <w:spacing w:after="0"/>
              <w:rPr>
                <w:sz w:val="15"/>
                <w:szCs w:val="15"/>
                <w:color w:val="auto"/>
              </w:rPr>
            </w:pPr>
          </w:p>
        </w:tc>
        <w:tc>
          <w:tcPr>
            <w:tcW w:w="1060" w:type="dxa"/>
            <w:vAlign w:val="bottom"/>
            <w:shd w:val="clear" w:color="auto" w:fill="CCECFC"/>
          </w:tcPr>
          <w:p>
            <w:pPr>
              <w:spacing w:after="0"/>
              <w:rPr>
                <w:sz w:val="15"/>
                <w:szCs w:val="15"/>
                <w:color w:val="auto"/>
              </w:rPr>
            </w:pPr>
          </w:p>
        </w:tc>
        <w:tc>
          <w:tcPr>
            <w:tcW w:w="220" w:type="dxa"/>
            <w:vAlign w:val="bottom"/>
            <w:shd w:val="clear" w:color="auto" w:fill="CCECFC"/>
          </w:tcPr>
          <w:p>
            <w:pPr>
              <w:spacing w:after="0"/>
              <w:rPr>
                <w:sz w:val="15"/>
                <w:szCs w:val="15"/>
                <w:color w:val="auto"/>
              </w:rPr>
            </w:pPr>
          </w:p>
        </w:tc>
        <w:tc>
          <w:tcPr>
            <w:tcW w:w="180" w:type="dxa"/>
            <w:vAlign w:val="bottom"/>
            <w:shd w:val="clear" w:color="auto" w:fill="CCECFC"/>
          </w:tcPr>
          <w:p>
            <w:pPr>
              <w:spacing w:after="0"/>
              <w:rPr>
                <w:sz w:val="15"/>
                <w:szCs w:val="15"/>
                <w:color w:val="auto"/>
              </w:rPr>
            </w:pPr>
          </w:p>
        </w:tc>
        <w:tc>
          <w:tcPr>
            <w:tcW w:w="280" w:type="dxa"/>
            <w:vAlign w:val="bottom"/>
            <w:shd w:val="clear" w:color="auto" w:fill="CCECFC"/>
          </w:tcPr>
          <w:p>
            <w:pPr>
              <w:spacing w:after="0"/>
              <w:rPr>
                <w:sz w:val="15"/>
                <w:szCs w:val="15"/>
                <w:color w:val="auto"/>
              </w:rPr>
            </w:pPr>
          </w:p>
        </w:tc>
        <w:tc>
          <w:tcPr>
            <w:tcW w:w="1060" w:type="dxa"/>
            <w:vAlign w:val="bottom"/>
            <w:shd w:val="clear" w:color="auto" w:fill="CCECFC"/>
          </w:tcPr>
          <w:p>
            <w:pPr>
              <w:spacing w:after="0"/>
              <w:rPr>
                <w:sz w:val="15"/>
                <w:szCs w:val="15"/>
                <w:color w:val="auto"/>
              </w:rPr>
            </w:pPr>
          </w:p>
        </w:tc>
        <w:tc>
          <w:tcPr>
            <w:tcW w:w="60" w:type="dxa"/>
            <w:vAlign w:val="bottom"/>
            <w:shd w:val="clear" w:color="auto" w:fill="CCE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Liabilities</w:t>
            </w: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CFC"/>
            </w:tcBorders>
            <w:shd w:val="clear" w:color="auto" w:fill="CCECFC"/>
          </w:tcPr>
          <w:p>
            <w:pPr>
              <w:spacing w:after="0" w:line="202" w:lineRule="exact"/>
              <w:rPr>
                <w:sz w:val="20"/>
                <w:szCs w:val="20"/>
                <w:color w:val="auto"/>
              </w:rPr>
            </w:pPr>
            <w:r>
              <w:rPr>
                <w:rFonts w:ascii="Arial" w:cs="Arial" w:eastAsia="Arial" w:hAnsi="Arial"/>
                <w:sz w:val="18"/>
                <w:szCs w:val="18"/>
                <w:color w:val="auto"/>
              </w:rPr>
              <w:t>Contingent consideration</w:t>
            </w:r>
          </w:p>
        </w:tc>
        <w:tc>
          <w:tcPr>
            <w:tcW w:w="1140" w:type="dxa"/>
            <w:vAlign w:val="bottom"/>
            <w:tcBorders>
              <w:bottom w:val="single" w:sz="8" w:color="auto"/>
            </w:tcBorders>
            <w:shd w:val="clear" w:color="auto" w:fill="CCECFC"/>
          </w:tcPr>
          <w:p>
            <w:pPr>
              <w:jc w:val="right"/>
              <w:ind w:right="954"/>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CFC"/>
          </w:tcPr>
          <w:p>
            <w:pPr>
              <w:jc w:val="right"/>
              <w:spacing w:after="0" w:line="202" w:lineRule="exact"/>
              <w:rPr>
                <w:sz w:val="20"/>
                <w:szCs w:val="20"/>
                <w:color w:val="auto"/>
              </w:rPr>
            </w:pPr>
            <w:r>
              <w:rPr>
                <w:rFonts w:ascii="Arial" w:cs="Arial" w:eastAsia="Arial" w:hAnsi="Arial"/>
                <w:sz w:val="18"/>
                <w:szCs w:val="18"/>
                <w:color w:val="auto"/>
              </w:rPr>
              <w:t>50,800</w:t>
            </w:r>
          </w:p>
        </w:tc>
        <w:tc>
          <w:tcPr>
            <w:tcW w:w="220" w:type="dxa"/>
            <w:vAlign w:val="bottom"/>
            <w:tcBorders>
              <w:bottom w:val="single" w:sz="8" w:color="CCECFC"/>
            </w:tcBorders>
            <w:shd w:val="clear" w:color="auto" w:fill="CCECFC"/>
          </w:tcPr>
          <w:p>
            <w:pPr>
              <w:spacing w:after="0"/>
              <w:rPr>
                <w:sz w:val="17"/>
                <w:szCs w:val="17"/>
                <w:color w:val="auto"/>
              </w:rPr>
            </w:pPr>
          </w:p>
        </w:tc>
        <w:tc>
          <w:tcPr>
            <w:tcW w:w="300" w:type="dxa"/>
            <w:vAlign w:val="bottom"/>
            <w:tcBorders>
              <w:bottom w:val="single" w:sz="8" w:color="auto"/>
            </w:tcBorders>
            <w:shd w:val="clear" w:color="auto" w:fill="CCEC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C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CFC"/>
            </w:tcBorders>
            <w:shd w:val="clear" w:color="auto" w:fill="CCECFC"/>
          </w:tcPr>
          <w:p>
            <w:pPr>
              <w:spacing w:after="0"/>
              <w:rPr>
                <w:sz w:val="17"/>
                <w:szCs w:val="17"/>
                <w:color w:val="auto"/>
              </w:rPr>
            </w:pPr>
          </w:p>
        </w:tc>
        <w:tc>
          <w:tcPr>
            <w:tcW w:w="1060" w:type="dxa"/>
            <w:vAlign w:val="bottom"/>
            <w:tcBorders>
              <w:bottom w:val="single" w:sz="8" w:color="auto"/>
            </w:tcBorders>
            <w:shd w:val="clear" w:color="auto" w:fill="CCECFC"/>
          </w:tcPr>
          <w:p>
            <w:pPr>
              <w:jc w:val="right"/>
              <w:ind w:right="874"/>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CFC"/>
          </w:tcPr>
          <w:p>
            <w:pPr>
              <w:ind w:left="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CFC"/>
            </w:tcBorders>
            <w:shd w:val="clear" w:color="auto" w:fill="CCECFC"/>
          </w:tcPr>
          <w:p>
            <w:pPr>
              <w:spacing w:after="0"/>
              <w:rPr>
                <w:sz w:val="17"/>
                <w:szCs w:val="17"/>
                <w:color w:val="auto"/>
              </w:rPr>
            </w:pPr>
          </w:p>
        </w:tc>
        <w:tc>
          <w:tcPr>
            <w:tcW w:w="280" w:type="dxa"/>
            <w:vAlign w:val="bottom"/>
            <w:tcBorders>
              <w:bottom w:val="single" w:sz="8" w:color="auto"/>
            </w:tcBorders>
            <w:shd w:val="clear" w:color="auto" w:fill="CCEC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C"/>
          </w:tcPr>
          <w:p>
            <w:pPr>
              <w:jc w:val="right"/>
              <w:spacing w:after="0" w:line="202" w:lineRule="exact"/>
              <w:rPr>
                <w:sz w:val="20"/>
                <w:szCs w:val="20"/>
                <w:color w:val="auto"/>
              </w:rPr>
            </w:pPr>
            <w:r>
              <w:rPr>
                <w:rFonts w:ascii="Arial" w:cs="Arial" w:eastAsia="Arial" w:hAnsi="Arial"/>
                <w:sz w:val="18"/>
                <w:szCs w:val="18"/>
                <w:color w:val="auto"/>
              </w:rPr>
              <w:t>50,800</w:t>
            </w:r>
          </w:p>
        </w:tc>
        <w:tc>
          <w:tcPr>
            <w:tcW w:w="60" w:type="dxa"/>
            <w:vAlign w:val="bottom"/>
            <w:tcBorders>
              <w:bottom w:val="single" w:sz="8" w:color="CCECFC"/>
            </w:tcBorders>
            <w:shd w:val="clear" w:color="auto" w:fill="CCEC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1140" w:type="dxa"/>
            <w:vAlign w:val="bottom"/>
          </w:tcPr>
          <w:p>
            <w:pPr>
              <w:jc w:val="right"/>
              <w:ind w:right="954"/>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50,800</w:t>
            </w:r>
          </w:p>
        </w:tc>
        <w:tc>
          <w:tcPr>
            <w:tcW w:w="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874"/>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50,800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-2596515</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-2579370</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-2596515</wp:posOffset>
            </wp:positionV>
            <wp:extent cx="43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-2579370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-2596515</wp:posOffset>
            </wp:positionV>
            <wp:extent cx="342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-2579370</wp:posOffset>
            </wp:positionV>
            <wp:extent cx="34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-2596515</wp:posOffset>
            </wp:positionV>
            <wp:extent cx="342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-2579370</wp:posOffset>
            </wp:positionV>
            <wp:extent cx="342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-2047875</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-2031365</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-2047875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-2031365</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-2047875</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-2031365</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-2047875</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-2031365</wp:posOffset>
            </wp:positionV>
            <wp:extent cx="342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-708025</wp:posOffset>
            </wp:positionV>
            <wp:extent cx="431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-708025</wp:posOffset>
            </wp:positionV>
            <wp:extent cx="431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-708025</wp:posOffset>
            </wp:positionV>
            <wp:extent cx="3429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-708025</wp:posOffset>
            </wp:positionV>
            <wp:extent cx="3429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-159385</wp:posOffset>
            </wp:positionV>
            <wp:extent cx="431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-159385</wp:posOffset>
            </wp:positionV>
            <wp:extent cx="431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-159385</wp:posOffset>
            </wp:positionV>
            <wp:extent cx="3429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160" w:firstLine="749"/>
        <w:spacing w:after="0" w:line="216" w:lineRule="auto"/>
        <w:rPr>
          <w:sz w:val="20"/>
          <w:szCs w:val="20"/>
          <w:color w:val="auto"/>
        </w:rPr>
      </w:pPr>
      <w:r>
        <w:rPr>
          <w:rFonts w:ascii="Arial" w:cs="Arial" w:eastAsia="Arial" w:hAnsi="Arial"/>
          <w:sz w:val="18"/>
          <w:szCs w:val="18"/>
          <w:color w:val="auto"/>
        </w:rPr>
        <w:t xml:space="preserve">The Company’s assets with fair value categorized as Level 1 within the fair value hierarchy include money market funds, certificates of deposit and the Company’s strategic investment in Lysogene, a publicly traded company in France, as more fully described in </w:t>
      </w:r>
      <w:r>
        <w:rPr>
          <w:rFonts w:ascii="Arial" w:cs="Arial" w:eastAsia="Arial" w:hAnsi="Arial"/>
          <w:sz w:val="18"/>
          <w:szCs w:val="18"/>
          <w:i w:val="1"/>
          <w:iCs w:val="1"/>
          <w:color w:val="auto"/>
        </w:rPr>
        <w:t>Note 3, License and 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The Company did not hold any government and government agency bonds as of December 31, 2021. Certain of the government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agency bonds are publicly traded fixed income securities and were presented as cash equivalents on the consolidated balance sheets as of December 31, 2020.</w:t>
      </w:r>
    </w:p>
    <w:p>
      <w:pPr>
        <w:spacing w:after="0" w:line="162" w:lineRule="exact"/>
        <w:rPr>
          <w:sz w:val="20"/>
          <w:szCs w:val="20"/>
          <w:color w:val="auto"/>
        </w:rPr>
      </w:pPr>
    </w:p>
    <w:p>
      <w:pPr>
        <w:ind w:right="80" w:firstLine="749"/>
        <w:spacing w:after="0" w:line="216" w:lineRule="auto"/>
        <w:rPr>
          <w:sz w:val="20"/>
          <w:szCs w:val="20"/>
          <w:color w:val="auto"/>
        </w:rPr>
      </w:pPr>
      <w:r>
        <w:rPr>
          <w:rFonts w:ascii="Arial" w:cs="Arial" w:eastAsia="Arial" w:hAnsi="Arial"/>
          <w:sz w:val="18"/>
          <w:szCs w:val="18"/>
          <w:color w:val="auto"/>
        </w:rPr>
        <w:t xml:space="preserve">The Company’s assets with fair value categorized as Level 3 within the fair value hierarchy consists of a strategic investment in Series A preferred stock of Lacerta as more fully described in </w:t>
      </w:r>
      <w:r>
        <w:rPr>
          <w:rFonts w:ascii="Arial" w:cs="Arial" w:eastAsia="Arial" w:hAnsi="Arial"/>
          <w:sz w:val="18"/>
          <w:szCs w:val="18"/>
          <w:i w:val="1"/>
          <w:iCs w:val="1"/>
          <w:color w:val="auto"/>
        </w:rPr>
        <w:t>Note 3, License and Collaboration Agreements</w:t>
      </w:r>
      <w:r>
        <w:rPr>
          <w:rFonts w:ascii="Arial" w:cs="Arial" w:eastAsia="Arial" w:hAnsi="Arial"/>
          <w:sz w:val="18"/>
          <w:szCs w:val="18"/>
          <w:color w:val="auto"/>
        </w:rPr>
        <w:t xml:space="preserve"> and strategic investments in another two private companies. At the end of each reporting period, the fair value of the Company's strategic investments will be adjusted if the issuers were to issue similar or identical equity securities or when there is a triggering event for impairment. During the year ended December 31, 2021, the Company recorded an impairment loss of $4.5 million related to its investment in one of the private companies.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represents a roll-forward of the fair value of Level 3 financial assets for each of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As of December 31,</w:t>
            </w:r>
          </w:p>
        </w:tc>
        <w:tc>
          <w:tcPr>
            <w:tcW w:w="1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3"/>
        </w:trPr>
        <w:tc>
          <w:tcPr>
            <w:tcW w:w="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920" w:type="dxa"/>
            <w:vAlign w:val="bottom"/>
          </w:tcPr>
          <w:p>
            <w:pPr>
              <w:spacing w:after="0"/>
              <w:rPr>
                <w:sz w:val="17"/>
                <w:szCs w:val="17"/>
                <w:color w:val="auto"/>
              </w:rPr>
            </w:pPr>
          </w:p>
        </w:tc>
        <w:tc>
          <w:tcPr>
            <w:tcW w:w="3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Fair value, beginning of year</w:t>
            </w:r>
          </w:p>
        </w:tc>
        <w:tc>
          <w:tcPr>
            <w:tcW w:w="1880" w:type="dxa"/>
            <w:vAlign w:val="bottom"/>
            <w:shd w:val="clear" w:color="auto" w:fill="CFF0FC"/>
          </w:tcPr>
          <w:p>
            <w:pPr>
              <w:jc w:val="right"/>
              <w:ind w:right="1675"/>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35,100</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9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Changes in estimated fair value</w:t>
            </w:r>
          </w:p>
        </w:tc>
        <w:tc>
          <w:tcPr>
            <w:tcW w:w="18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(4,488 )</w:t>
            </w:r>
          </w:p>
        </w:tc>
        <w:tc>
          <w:tcPr>
            <w:tcW w:w="5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Fair value, end of year</w:t>
            </w:r>
          </w:p>
        </w:tc>
        <w:tc>
          <w:tcPr>
            <w:tcW w:w="1880" w:type="dxa"/>
            <w:vAlign w:val="bottom"/>
            <w:tcBorders>
              <w:top w:val="single" w:sz="8" w:color="auto"/>
              <w:bottom w:val="single" w:sz="8" w:color="auto"/>
            </w:tcBorders>
          </w:tcPr>
          <w:p>
            <w:pPr>
              <w:jc w:val="right"/>
              <w:ind w:right="1675"/>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32,412</w:t>
            </w:r>
          </w:p>
        </w:tc>
        <w:tc>
          <w:tcPr>
            <w:tcW w:w="22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35,100</w:t>
            </w:r>
          </w:p>
        </w:tc>
        <w:tc>
          <w:tcPr>
            <w:tcW w:w="80" w:type="dxa"/>
            <w:vAlign w:val="bottom"/>
            <w:tcBorders>
              <w:top w:val="single" w:sz="8" w:color="CFF0FC"/>
            </w:tcBorders>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15"/>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80" w:type="dxa"/>
            <w:vAlign w:val="bottom"/>
          </w:tcPr>
          <w:p>
            <w:pPr>
              <w:jc w:val="right"/>
              <w:ind w:right="815"/>
              <w:spacing w:after="0"/>
              <w:rPr>
                <w:sz w:val="20"/>
                <w:szCs w:val="20"/>
                <w:color w:val="auto"/>
              </w:rPr>
            </w:pPr>
            <w:r>
              <w:rPr>
                <w:rFonts w:ascii="Arial" w:cs="Arial" w:eastAsia="Arial" w:hAnsi="Arial"/>
                <w:sz w:val="18"/>
                <w:szCs w:val="18"/>
                <w:color w:val="auto"/>
              </w:rPr>
              <w:t>F-20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8"/>
        </w:trPr>
        <w:tc>
          <w:tcPr>
            <w:tcW w:w="9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-630555</wp:posOffset>
            </wp:positionV>
            <wp:extent cx="5969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-630555</wp:posOffset>
            </wp:positionV>
            <wp:extent cx="431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13" w:name="page114"/>
    <w:bookmarkEnd w:id="113"/>
    <w:p>
      <w:pPr>
        <w:ind w:right="40" w:firstLine="749"/>
        <w:spacing w:after="0" w:line="210" w:lineRule="auto"/>
        <w:rPr>
          <w:sz w:val="20"/>
          <w:szCs w:val="20"/>
          <w:color w:val="auto"/>
        </w:rPr>
      </w:pPr>
      <w:r>
        <w:rPr>
          <w:rFonts w:ascii="Arial" w:cs="Arial" w:eastAsia="Arial" w:hAnsi="Arial"/>
          <w:sz w:val="18"/>
          <w:szCs w:val="18"/>
          <w:color w:val="auto"/>
        </w:rPr>
        <w:t xml:space="preserve">The Company’s contingent consideration liability with fair value categorized as Level 3 within the fair value hierarchy relates to the regulatory-related contingent payments to Myonexus selling shareholders as well as to two academic institutions under separate license agreements that meet the definition of a derivative. For more information related to Myonexus, please read </w:t>
      </w:r>
      <w:r>
        <w:rPr>
          <w:rFonts w:ascii="Arial" w:cs="Arial" w:eastAsia="Arial" w:hAnsi="Arial"/>
          <w:sz w:val="18"/>
          <w:szCs w:val="18"/>
          <w:i w:val="1"/>
          <w:iCs w:val="1"/>
          <w:color w:val="auto"/>
        </w:rPr>
        <w:t>Note 3, License and Collaboration Agreements</w:t>
      </w:r>
      <w:r>
        <w:rPr>
          <w:rFonts w:ascii="Arial" w:cs="Arial" w:eastAsia="Arial" w:hAnsi="Arial"/>
          <w:sz w:val="18"/>
          <w:szCs w:val="18"/>
          <w:color w:val="auto"/>
        </w:rPr>
        <w:t>. The contingent consideration liability was estimated using an income approach based on the probability-weighted expected cash flows that incorporated industry-based probability adjusted assumptions relating to the achievement of the milestone and thus the likelihood of making the payments. This fair value measurement was based upon significant inputs not observable in the market and therefore represented a Level 3 measurement. Significant changes which increase or decrease the probabilities of achieving the milestone or shorten or lengthen the time required to achieve the milestone would result in a corresponding increase or decrease in the fair value of the liability. At the end of each reporting period, the fair value is adjusted to reflect the most current assumptions through earnings.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represents a roll-forward of the fair value of Level 3 financial liabilities for each of the periods indicated:</w:t>
      </w:r>
    </w:p>
    <w:p>
      <w:pPr>
        <w:spacing w:after="0" w:line="392"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4"/>
                <w:szCs w:val="14"/>
                <w:b w:val="1"/>
                <w:bCs w:val="1"/>
                <w:color w:val="auto"/>
                <w:w w:val="92"/>
              </w:rPr>
              <w:t>As of December 31,</w:t>
            </w: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820" w:type="dxa"/>
            <w:vAlign w:val="bottom"/>
          </w:tcPr>
          <w:p>
            <w:pPr>
              <w:spacing w:after="0"/>
              <w:rPr>
                <w:sz w:val="15"/>
                <w:szCs w:val="15"/>
                <w:color w:val="auto"/>
              </w:rPr>
            </w:pPr>
          </w:p>
        </w:tc>
        <w:tc>
          <w:tcPr>
            <w:tcW w:w="18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0"/>
        </w:trPr>
        <w:tc>
          <w:tcPr>
            <w:tcW w:w="3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40" w:type="dxa"/>
            <w:vAlign w:val="bottom"/>
            <w:gridSpan w:val="3"/>
          </w:tcPr>
          <w:p>
            <w:pPr>
              <w:jc w:val="center"/>
              <w:ind w:left="156"/>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beginning of year</w:t>
            </w:r>
          </w:p>
        </w:tc>
        <w:tc>
          <w:tcPr>
            <w:tcW w:w="1880" w:type="dxa"/>
            <w:vAlign w:val="bottom"/>
            <w:shd w:val="clear" w:color="auto" w:fill="CFF0FC"/>
          </w:tcPr>
          <w:p>
            <w:pPr>
              <w:jc w:val="right"/>
              <w:ind w:right="169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50,800</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60" w:type="dxa"/>
            <w:vAlign w:val="bottom"/>
            <w:shd w:val="clear" w:color="auto" w:fill="CFF0FC"/>
          </w:tcPr>
          <w:p>
            <w:pPr>
              <w:spacing w:after="0"/>
              <w:rPr>
                <w:sz w:val="18"/>
                <w:szCs w:val="18"/>
                <w:color w:val="auto"/>
              </w:rPr>
            </w:pPr>
          </w:p>
        </w:tc>
      </w:tr>
      <w:tr>
        <w:trPr>
          <w:trHeight w:val="203"/>
        </w:trPr>
        <w:tc>
          <w:tcPr>
            <w:tcW w:w="3820" w:type="dxa"/>
            <w:vAlign w:val="bottom"/>
          </w:tcPr>
          <w:p>
            <w:pPr>
              <w:ind w:left="100"/>
              <w:spacing w:after="0" w:line="202" w:lineRule="exact"/>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7"/>
                <w:szCs w:val="17"/>
                <w:color w:val="auto"/>
              </w:rPr>
            </w:pPr>
          </w:p>
        </w:tc>
        <w:tc>
          <w:tcPr>
            <w:tcW w:w="14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7"/>
                <w:szCs w:val="17"/>
                <w:color w:val="auto"/>
              </w:rPr>
            </w:pPr>
          </w:p>
        </w:tc>
      </w:tr>
      <w:tr>
        <w:trPr>
          <w:trHeight w:val="202"/>
        </w:trPr>
        <w:tc>
          <w:tcPr>
            <w:tcW w:w="38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Changes in estimated fair value, net</w:t>
            </w:r>
          </w:p>
        </w:tc>
        <w:tc>
          <w:tcPr>
            <w:tcW w:w="18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(7,200 )</w:t>
            </w: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45,000</w:t>
            </w:r>
          </w:p>
        </w:tc>
        <w:tc>
          <w:tcPr>
            <w:tcW w:w="60" w:type="dxa"/>
            <w:vAlign w:val="bottom"/>
            <w:shd w:val="clear" w:color="auto" w:fill="CFF0FC"/>
          </w:tcPr>
          <w:p>
            <w:pPr>
              <w:spacing w:after="0"/>
              <w:rPr>
                <w:sz w:val="17"/>
                <w:szCs w:val="17"/>
                <w:color w:val="auto"/>
              </w:rPr>
            </w:pPr>
          </w:p>
        </w:tc>
      </w:tr>
      <w:tr>
        <w:trPr>
          <w:trHeight w:val="196"/>
        </w:trPr>
        <w:tc>
          <w:tcPr>
            <w:tcW w:w="38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Fair value, end of year</w:t>
            </w:r>
          </w:p>
        </w:tc>
        <w:tc>
          <w:tcPr>
            <w:tcW w:w="1880" w:type="dxa"/>
            <w:vAlign w:val="bottom"/>
            <w:tcBorders>
              <w:top w:val="single" w:sz="8" w:color="auto"/>
              <w:bottom w:val="single" w:sz="8" w:color="auto"/>
            </w:tcBorders>
          </w:tcPr>
          <w:p>
            <w:pPr>
              <w:jc w:val="right"/>
              <w:ind w:right="1696"/>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43,600</w:t>
            </w:r>
          </w:p>
        </w:tc>
        <w:tc>
          <w:tcPr>
            <w:tcW w:w="34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50,800</w:t>
            </w:r>
          </w:p>
        </w:tc>
        <w:tc>
          <w:tcPr>
            <w:tcW w:w="60" w:type="dxa"/>
            <w:vAlign w:val="bottom"/>
            <w:tcBorders>
              <w:top w:val="single" w:sz="8" w:color="CFF0FC"/>
            </w:tcBorders>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-159385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-159385</wp:posOffset>
            </wp:positionV>
            <wp:extent cx="3429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200" w:firstLine="749"/>
        <w:spacing w:after="0" w:line="211" w:lineRule="auto"/>
        <w:rPr>
          <w:sz w:val="20"/>
          <w:szCs w:val="20"/>
          <w:color w:val="auto"/>
        </w:rPr>
      </w:pPr>
      <w:r>
        <w:rPr>
          <w:rFonts w:ascii="Arial" w:cs="Arial" w:eastAsia="Arial" w:hAnsi="Arial"/>
          <w:sz w:val="18"/>
          <w:szCs w:val="18"/>
          <w:color w:val="auto"/>
        </w:rPr>
        <w:t>A net decrease of $7.2 million and net increase of $45.0 million was recorded during the years ended December 31, 2021 and December 31, 2020, respectively, to account for the change in fair value of existing contingent consideration liabilities. These changes, which are recorded through earnings, were a result of updates made to certain inputs and assumptions impacting the probability-weighted expected cash flows, principally the probability of success of the underlying programs, the estimate of the year that the payments are expected to be made, the expected approval date of the underlying programs and the estimate of the amount of payments to be ultimately made. An increase of $0.6 million was recorded during the year ended December 31, 2020 to account for new contingent consideration liabilities associated with new license agreements with certain academic institutions that meet the definition of a derivative. As of December 31, 2021, the contingent consideration was recorded as a non-current liability on the Company's consolidated balance sheets.</w:t>
      </w:r>
    </w:p>
    <w:p>
      <w:pPr>
        <w:spacing w:after="0" w:line="164" w:lineRule="exact"/>
        <w:rPr>
          <w:sz w:val="20"/>
          <w:szCs w:val="20"/>
          <w:color w:val="auto"/>
        </w:rPr>
      </w:pPr>
    </w:p>
    <w:p>
      <w:pPr>
        <w:ind w:right="100" w:firstLine="749"/>
        <w:spacing w:after="0" w:line="224" w:lineRule="auto"/>
        <w:rPr>
          <w:sz w:val="20"/>
          <w:szCs w:val="20"/>
          <w:color w:val="auto"/>
        </w:rPr>
      </w:pPr>
      <w:r>
        <w:rPr>
          <w:rFonts w:ascii="Arial" w:cs="Arial" w:eastAsia="Arial" w:hAnsi="Arial"/>
          <w:sz w:val="18"/>
          <w:szCs w:val="18"/>
          <w:color w:val="auto"/>
        </w:rPr>
        <w:t xml:space="preserve">The carrying amounts reported in the consolidated balance sheets for cash and cash equivalents, accounts receivable and accounts payable approximate fair value because of the immediate or short-term maturity of these financial instruments. For fair value information related to the Company’s debt facilities,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MARKETABLE SECURITIES</w:t>
      </w:r>
    </w:p>
    <w:p>
      <w:pPr>
        <w:spacing w:after="0" w:line="81" w:lineRule="exact"/>
        <w:rPr>
          <w:sz w:val="20"/>
          <w:szCs w:val="20"/>
          <w:color w:val="auto"/>
        </w:rPr>
      </w:pPr>
    </w:p>
    <w:p>
      <w:pPr>
        <w:ind w:right="200" w:firstLine="749"/>
        <w:spacing w:after="0" w:line="235" w:lineRule="auto"/>
        <w:rPr>
          <w:sz w:val="20"/>
          <w:szCs w:val="20"/>
          <w:color w:val="auto"/>
        </w:rPr>
      </w:pPr>
      <w:r>
        <w:rPr>
          <w:rFonts w:ascii="Arial" w:cs="Arial" w:eastAsia="Arial" w:hAnsi="Arial"/>
          <w:sz w:val="18"/>
          <w:szCs w:val="18"/>
          <w:color w:val="auto"/>
        </w:rPr>
        <w:t>The following table summarizes the Company’s financial assets with maturities of less than 90 days from the date of purchase included in cash equivalents in the consolidated balance sheets for each of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10"/>
        </w:trPr>
        <w:tc>
          <w:tcPr>
            <w:tcW w:w="1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98"/>
        </w:trPr>
        <w:tc>
          <w:tcPr>
            <w:tcW w:w="18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5"/>
        </w:trPr>
        <w:tc>
          <w:tcPr>
            <w:tcW w:w="18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3"/>
        </w:trPr>
        <w:tc>
          <w:tcPr>
            <w:tcW w:w="1880" w:type="dxa"/>
            <w:vAlign w:val="bottom"/>
          </w:tcPr>
          <w:p>
            <w:pPr>
              <w:spacing w:after="0"/>
              <w:rPr>
                <w:sz w:val="17"/>
                <w:szCs w:val="17"/>
                <w:color w:val="auto"/>
              </w:rPr>
            </w:pPr>
          </w:p>
        </w:tc>
        <w:tc>
          <w:tcPr>
            <w:tcW w:w="34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Money market funds</w:t>
            </w:r>
          </w:p>
        </w:tc>
        <w:tc>
          <w:tcPr>
            <w:tcW w:w="96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1,562,358</w:t>
            </w:r>
          </w:p>
        </w:tc>
        <w:tc>
          <w:tcPr>
            <w:tcW w:w="74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629,440</w:t>
            </w:r>
          </w:p>
        </w:tc>
        <w:tc>
          <w:tcPr>
            <w:tcW w:w="80" w:type="dxa"/>
            <w:vAlign w:val="bottom"/>
            <w:shd w:val="clear" w:color="auto" w:fill="CFF0FC"/>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3400" w:type="dxa"/>
            <w:vAlign w:val="bottom"/>
          </w:tcPr>
          <w:p>
            <w:pPr>
              <w:ind w:left="80"/>
              <w:spacing w:after="0" w:line="202" w:lineRule="exact"/>
              <w:rPr>
                <w:sz w:val="20"/>
                <w:szCs w:val="20"/>
                <w:color w:val="auto"/>
              </w:rPr>
            </w:pPr>
            <w:r>
              <w:rPr>
                <w:rFonts w:ascii="Arial" w:cs="Arial" w:eastAsia="Arial" w:hAnsi="Arial"/>
                <w:sz w:val="18"/>
                <w:szCs w:val="18"/>
                <w:color w:val="auto"/>
                <w:w w:val="93"/>
              </w:rPr>
              <w:t>Government and government agency bonds</w:t>
            </w:r>
          </w:p>
        </w:tc>
        <w:tc>
          <w:tcPr>
            <w:tcW w:w="5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602,058</w:t>
            </w: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6"/>
        </w:trPr>
        <w:tc>
          <w:tcPr>
            <w:tcW w:w="188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5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1,562,358</w:t>
            </w: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1,231,498</w:t>
            </w:r>
          </w:p>
        </w:tc>
        <w:tc>
          <w:tcPr>
            <w:tcW w:w="80" w:type="dxa"/>
            <w:vAlign w:val="bottom"/>
            <w:tcBorders>
              <w:bottom w:val="single" w:sz="8" w:color="CFF0FC"/>
            </w:tcBorders>
            <w:shd w:val="clear" w:color="auto" w:fill="CFF0FC"/>
          </w:tcPr>
          <w:p>
            <w:pPr>
              <w:spacing w:after="0"/>
              <w:rPr>
                <w:sz w:val="20"/>
                <w:szCs w:val="20"/>
                <w:color w:val="auto"/>
              </w:rPr>
            </w:pPr>
          </w:p>
        </w:tc>
        <w:tc>
          <w:tcPr>
            <w:tcW w:w="1840" w:type="dxa"/>
            <w:vAlign w:val="bottom"/>
          </w:tcPr>
          <w:p>
            <w:pPr>
              <w:spacing w:after="0"/>
              <w:rPr>
                <w:sz w:val="20"/>
                <w:szCs w:val="20"/>
                <w:color w:val="auto"/>
              </w:rPr>
            </w:pPr>
          </w:p>
        </w:tc>
      </w:tr>
      <w:tr>
        <w:trPr>
          <w:trHeight w:val="615"/>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8"/>
                <w:szCs w:val="18"/>
                <w:color w:val="auto"/>
              </w:rPr>
              <w:t>F-21</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88"/>
        </w:trPr>
        <w:tc>
          <w:tcPr>
            <w:tcW w:w="188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-496570</wp:posOffset>
            </wp:positionV>
            <wp:extent cx="431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-496570</wp:posOffset>
            </wp:positionV>
            <wp:extent cx="431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-479425</wp:posOffset>
            </wp:positionV>
            <wp:extent cx="431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4" w:name="page115"/>
    <w:bookmarkEnd w:id="114"/>
    <w:p>
      <w:pPr>
        <w:ind w:right="380" w:firstLine="749"/>
        <w:spacing w:after="0" w:line="270" w:lineRule="auto"/>
        <w:rPr>
          <w:sz w:val="20"/>
          <w:szCs w:val="20"/>
          <w:color w:val="auto"/>
        </w:rPr>
      </w:pPr>
      <w:r>
        <w:rPr>
          <w:rFonts w:ascii="Arial" w:cs="Arial" w:eastAsia="Arial" w:hAnsi="Arial"/>
          <w:sz w:val="17"/>
          <w:szCs w:val="17"/>
          <w:color w:val="auto"/>
        </w:rPr>
        <w:t>It is the Company’s policy to mitigate credit risk in its financial assets by maintaining a well-diversified portfolio that limits the amount of exposure as to maturity and investment type. The Company did not hold any available-for-sale securities at December 31, 2021. The weighted average maturity of the Company’s available-for-sale securities as of December 31, 2020 was approximately two months.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the Company’s cash, cash equivalents and investments for each of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81"/>
              <w:spacing w:after="0"/>
              <w:rPr>
                <w:sz w:val="20"/>
                <w:szCs w:val="20"/>
                <w:color w:val="auto"/>
              </w:rPr>
            </w:pPr>
            <w:r>
              <w:rPr>
                <w:rFonts w:ascii="Arial" w:cs="Arial" w:eastAsia="Arial" w:hAnsi="Arial"/>
                <w:sz w:val="14"/>
                <w:szCs w:val="14"/>
                <w:b w:val="1"/>
                <w:bCs w:val="1"/>
                <w:color w:val="auto"/>
                <w:w w:val="92"/>
              </w:rPr>
              <w:t>As of December 31, 2021</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vMerge w:val="restart"/>
          </w:tcPr>
          <w:p>
            <w:pPr>
              <w:jc w:val="center"/>
              <w:ind w:right="335"/>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140" w:type="dxa"/>
            <w:vAlign w:val="bottom"/>
          </w:tcPr>
          <w:p>
            <w:pPr>
              <w:jc w:val="center"/>
              <w:ind w:left="183"/>
              <w:spacing w:after="0" w:line="139"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81"/>
              <w:spacing w:after="0" w:line="139"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37"/>
              <w:spacing w:after="0" w:line="13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4"/>
          </w:tcPr>
          <w:p>
            <w:pPr>
              <w:jc w:val="center"/>
              <w:ind w:right="81"/>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Cash and money market funds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2,115,869</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63"/>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6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2,115,869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line="196" w:lineRule="exact"/>
              <w:rPr>
                <w:sz w:val="20"/>
                <w:szCs w:val="20"/>
                <w:color w:val="auto"/>
              </w:rPr>
            </w:pPr>
            <w:r>
              <w:rPr>
                <w:rFonts w:ascii="Arial" w:cs="Arial" w:eastAsia="Arial" w:hAnsi="Arial"/>
                <w:sz w:val="18"/>
                <w:szCs w:val="18"/>
                <w:color w:val="auto"/>
              </w:rPr>
              <w:t>Total cash and cash equivalents</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2,115,869</w:t>
            </w:r>
          </w:p>
        </w:tc>
        <w:tc>
          <w:tcPr>
            <w:tcW w:w="1360" w:type="dxa"/>
            <w:vAlign w:val="bottom"/>
            <w:gridSpan w:val="2"/>
          </w:tcPr>
          <w:p>
            <w:pPr>
              <w:jc w:val="right"/>
              <w:ind w:right="963"/>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61"/>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2,115,869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As reported:</w:t>
            </w:r>
          </w:p>
        </w:tc>
        <w:tc>
          <w:tcPr>
            <w:tcW w:w="3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2,115,869</w:t>
            </w:r>
          </w:p>
        </w:tc>
        <w:tc>
          <w:tcPr>
            <w:tcW w:w="1360" w:type="dxa"/>
            <w:vAlign w:val="bottom"/>
            <w:gridSpan w:val="2"/>
          </w:tcPr>
          <w:p>
            <w:pPr>
              <w:jc w:val="right"/>
              <w:ind w:right="96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6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2,115,869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cash and cash equivalents</w:t>
            </w: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2,115,869</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63"/>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6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2,115,869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81"/>
              <w:spacing w:after="0"/>
              <w:rPr>
                <w:sz w:val="20"/>
                <w:szCs w:val="20"/>
                <w:color w:val="auto"/>
              </w:rPr>
            </w:pPr>
            <w:r>
              <w:rPr>
                <w:rFonts w:ascii="Arial" w:cs="Arial" w:eastAsia="Arial" w:hAnsi="Arial"/>
                <w:sz w:val="14"/>
                <w:szCs w:val="14"/>
                <w:b w:val="1"/>
                <w:bCs w:val="1"/>
                <w:color w:val="auto"/>
                <w:w w:val="92"/>
              </w:rPr>
              <w:t>As of December 31, 2020</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vMerge w:val="restart"/>
          </w:tcPr>
          <w:p>
            <w:pPr>
              <w:jc w:val="center"/>
              <w:ind w:right="335"/>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140" w:type="dxa"/>
            <w:vAlign w:val="bottom"/>
          </w:tcPr>
          <w:p>
            <w:pPr>
              <w:jc w:val="center"/>
              <w:ind w:left="183"/>
              <w:spacing w:after="0" w:line="13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left="181"/>
              <w:spacing w:after="0" w:line="13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center"/>
              <w:ind w:right="237"/>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4"/>
          </w:tcPr>
          <w:p>
            <w:pPr>
              <w:jc w:val="center"/>
              <w:ind w:right="81"/>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money market funds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900,590</w:t>
            </w:r>
          </w:p>
        </w:tc>
        <w:tc>
          <w:tcPr>
            <w:tcW w:w="1360" w:type="dxa"/>
            <w:vAlign w:val="bottom"/>
            <w:gridSpan w:val="2"/>
            <w:shd w:val="clear" w:color="auto" w:fill="CFF0FC"/>
          </w:tcPr>
          <w:p>
            <w:pPr>
              <w:jc w:val="right"/>
              <w:ind w:right="96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96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900,590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Government and government agency bonds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1,037,959</w:t>
            </w: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1,037,981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cash, cash equivalents and investments</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1,938,549</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63"/>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6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1,938,571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line="183" w:lineRule="exact"/>
              <w:rPr>
                <w:sz w:val="20"/>
                <w:szCs w:val="20"/>
                <w:color w:val="auto"/>
              </w:rPr>
            </w:pPr>
            <w:r>
              <w:rPr>
                <w:rFonts w:ascii="Arial" w:cs="Arial" w:eastAsia="Arial" w:hAnsi="Arial"/>
                <w:sz w:val="18"/>
                <w:szCs w:val="18"/>
                <w:color w:val="auto"/>
              </w:rPr>
              <w:t>As reported:</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1,502,639</w:t>
            </w:r>
          </w:p>
        </w:tc>
        <w:tc>
          <w:tcPr>
            <w:tcW w:w="1360" w:type="dxa"/>
            <w:vAlign w:val="bottom"/>
            <w:gridSpan w:val="2"/>
            <w:shd w:val="clear" w:color="auto" w:fill="CFF0FC"/>
          </w:tcPr>
          <w:p>
            <w:pPr>
              <w:jc w:val="right"/>
              <w:ind w:right="96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shd w:val="clear" w:color="auto" w:fill="CFF0FC"/>
          </w:tcPr>
          <w:p>
            <w:pPr>
              <w:jc w:val="right"/>
              <w:ind w:right="96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1,502,648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435,910</w:t>
            </w: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435,923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cash, cash equivalents and investments</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1,938,549</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63"/>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6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1,938,571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-2242185</wp:posOffset>
            </wp:positionV>
            <wp:extent cx="431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-2242185</wp:posOffset>
            </wp:positionV>
            <wp:extent cx="431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-2242185</wp:posOffset>
            </wp:positionV>
            <wp:extent cx="431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-2242185</wp:posOffset>
            </wp:positionV>
            <wp:extent cx="3429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-1687830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-1671320</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-1687830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-1671320</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-1687830</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-1671320</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-1687830</wp:posOffset>
            </wp:positionV>
            <wp:extent cx="34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-1671320</wp:posOffset>
            </wp:positionV>
            <wp:extent cx="342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-574040</wp:posOffset>
            </wp:positionV>
            <wp:extent cx="431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-556895</wp:posOffset>
            </wp:positionV>
            <wp:extent cx="431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-574040</wp:posOffset>
            </wp:positionV>
            <wp:extent cx="431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-556895</wp:posOffset>
            </wp:positionV>
            <wp:extent cx="431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-574040</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-556895</wp:posOffset>
            </wp:positionV>
            <wp:extent cx="431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-574040</wp:posOffset>
            </wp:positionV>
            <wp:extent cx="342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-556895</wp:posOffset>
            </wp:positionV>
            <wp:extent cx="342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43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431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431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43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431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REVENUES, NET, ACCOUNTS RECEIVABLE AND RESERVES FOR PRODUCT REVENUES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product revenues, net disaggregated by product for the periods indicated:</w:t>
      </w:r>
    </w:p>
    <w:p>
      <w:pPr>
        <w:spacing w:after="0" w:line="325"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28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69"/>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96"/>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2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EXONDYS 51</w:t>
            </w:r>
          </w:p>
        </w:tc>
        <w:tc>
          <w:tcPr>
            <w:tcW w:w="1080" w:type="dxa"/>
            <w:vAlign w:val="bottom"/>
            <w:shd w:val="clear" w:color="auto" w:fill="CFF0FC"/>
          </w:tcPr>
          <w:p>
            <w:pPr>
              <w:jc w:val="right"/>
              <w:ind w:right="89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454,361</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422,007</w:t>
            </w:r>
          </w:p>
        </w:tc>
        <w:tc>
          <w:tcPr>
            <w:tcW w:w="5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380,718</w:t>
            </w:r>
          </w:p>
        </w:tc>
        <w:tc>
          <w:tcPr>
            <w:tcW w:w="40" w:type="dxa"/>
            <w:vAlign w:val="bottom"/>
            <w:shd w:val="clear" w:color="auto" w:fill="CFF0FC"/>
          </w:tcPr>
          <w:p>
            <w:pPr>
              <w:spacing w:after="0"/>
              <w:rPr>
                <w:sz w:val="17"/>
                <w:szCs w:val="17"/>
                <w:color w:val="auto"/>
              </w:rPr>
            </w:pPr>
          </w:p>
        </w:tc>
      </w:tr>
      <w:tr>
        <w:trPr>
          <w:trHeight w:val="202"/>
        </w:trPr>
        <w:tc>
          <w:tcPr>
            <w:tcW w:w="2860" w:type="dxa"/>
            <w:vAlign w:val="bottom"/>
          </w:tcPr>
          <w:p>
            <w:pPr>
              <w:ind w:left="100"/>
              <w:spacing w:after="0" w:line="202" w:lineRule="exact"/>
              <w:rPr>
                <w:sz w:val="20"/>
                <w:szCs w:val="20"/>
                <w:color w:val="auto"/>
              </w:rPr>
            </w:pPr>
            <w:r>
              <w:rPr>
                <w:rFonts w:ascii="Arial" w:cs="Arial" w:eastAsia="Arial" w:hAnsi="Arial"/>
                <w:sz w:val="18"/>
                <w:szCs w:val="18"/>
                <w:color w:val="auto"/>
              </w:rPr>
              <w:t>VYONDYS 53</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89,511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33,858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40" w:type="dxa"/>
            <w:vAlign w:val="bottom"/>
          </w:tcPr>
          <w:p>
            <w:pPr>
              <w:spacing w:after="0"/>
              <w:rPr>
                <w:sz w:val="17"/>
                <w:szCs w:val="17"/>
                <w:color w:val="auto"/>
              </w:rPr>
            </w:pPr>
          </w:p>
        </w:tc>
      </w:tr>
      <w:tr>
        <w:trPr>
          <w:trHeight w:val="203"/>
        </w:trPr>
        <w:tc>
          <w:tcPr>
            <w:tcW w:w="28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AMONDYS 45</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68,529</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r>
      <w:tr>
        <w:trPr>
          <w:trHeight w:val="196"/>
        </w:trPr>
        <w:tc>
          <w:tcPr>
            <w:tcW w:w="2860" w:type="dxa"/>
            <w:vAlign w:val="bottom"/>
          </w:tcPr>
          <w:p>
            <w:pPr>
              <w:ind w:left="20"/>
              <w:spacing w:after="0" w:line="182" w:lineRule="exact"/>
              <w:rPr>
                <w:sz w:val="20"/>
                <w:szCs w:val="20"/>
                <w:color w:val="auto"/>
              </w:rPr>
            </w:pPr>
            <w:r>
              <w:rPr>
                <w:rFonts w:ascii="Arial" w:cs="Arial" w:eastAsia="Arial" w:hAnsi="Arial"/>
                <w:sz w:val="18"/>
                <w:szCs w:val="18"/>
                <w:color w:val="auto"/>
              </w:rPr>
              <w:t>Products, net</w:t>
            </w:r>
          </w:p>
        </w:tc>
        <w:tc>
          <w:tcPr>
            <w:tcW w:w="1080" w:type="dxa"/>
            <w:vAlign w:val="bottom"/>
          </w:tcPr>
          <w:p>
            <w:pPr>
              <w:jc w:val="right"/>
              <w:ind w:right="896"/>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w w:val="95"/>
              </w:rPr>
              <w:t>612,401</w:t>
            </w:r>
          </w:p>
        </w:tc>
        <w:tc>
          <w:tcPr>
            <w:tcW w:w="3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455,865</w:t>
            </w:r>
          </w:p>
        </w:tc>
        <w:tc>
          <w:tcPr>
            <w:tcW w:w="56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380,833</w:t>
            </w:r>
          </w:p>
        </w:tc>
        <w:tc>
          <w:tcPr>
            <w:tcW w:w="4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-159385</wp:posOffset>
            </wp:positionV>
            <wp:extent cx="5143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3429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3429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Company’s accounts receivable for the periods indicated:</w:t>
      </w:r>
    </w:p>
    <w:p>
      <w:pPr>
        <w:spacing w:after="0" w:line="271" w:lineRule="exact"/>
        <w:rPr>
          <w:sz w:val="20"/>
          <w:szCs w:val="20"/>
          <w:color w:val="auto"/>
        </w:rPr>
      </w:pPr>
    </w:p>
    <w:tbl>
      <w:tblPr>
        <w:tblLayout w:type="fixed"/>
        <w:tblInd w:w="15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169"/>
        </w:trPr>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49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Product sales receivable, net of discounts and allowances</w:t>
            </w:r>
          </w:p>
        </w:tc>
        <w:tc>
          <w:tcPr>
            <w:tcW w:w="960" w:type="dxa"/>
            <w:vAlign w:val="bottom"/>
            <w:shd w:val="clear" w:color="auto" w:fill="CFF0FC"/>
          </w:tcPr>
          <w:p>
            <w:pPr>
              <w:jc w:val="right"/>
              <w:ind w:right="77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152,990</w:t>
            </w:r>
          </w:p>
        </w:tc>
        <w:tc>
          <w:tcPr>
            <w:tcW w:w="6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100,870</w:t>
            </w:r>
          </w:p>
        </w:tc>
        <w:tc>
          <w:tcPr>
            <w:tcW w:w="40" w:type="dxa"/>
            <w:vAlign w:val="bottom"/>
            <w:shd w:val="clear" w:color="auto" w:fill="CFF0FC"/>
          </w:tcPr>
          <w:p>
            <w:pPr>
              <w:spacing w:after="0"/>
              <w:rPr>
                <w:sz w:val="17"/>
                <w:szCs w:val="17"/>
                <w:color w:val="auto"/>
              </w:rPr>
            </w:pPr>
          </w:p>
        </w:tc>
      </w:tr>
      <w:tr>
        <w:trPr>
          <w:trHeight w:val="203"/>
        </w:trPr>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Government contract receivables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w:t>
            </w:r>
          </w:p>
        </w:tc>
        <w:tc>
          <w:tcPr>
            <w:tcW w:w="40" w:type="dxa"/>
            <w:vAlign w:val="bottom"/>
          </w:tcPr>
          <w:p>
            <w:pPr>
              <w:spacing w:after="0"/>
              <w:rPr>
                <w:sz w:val="17"/>
                <w:szCs w:val="17"/>
                <w:color w:val="auto"/>
              </w:rPr>
            </w:pPr>
          </w:p>
        </w:tc>
      </w:tr>
      <w:tr>
        <w:trPr>
          <w:trHeight w:val="236"/>
        </w:trPr>
        <w:tc>
          <w:tcPr>
            <w:tcW w:w="49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accounts receivable, net</w:t>
            </w:r>
          </w:p>
        </w:tc>
        <w:tc>
          <w:tcPr>
            <w:tcW w:w="960" w:type="dxa"/>
            <w:vAlign w:val="bottom"/>
            <w:tcBorders>
              <w:bottom w:val="single" w:sz="8" w:color="auto"/>
            </w:tcBorders>
            <w:shd w:val="clear" w:color="auto" w:fill="CFF0FC"/>
          </w:tcPr>
          <w:p>
            <w:pPr>
              <w:jc w:val="right"/>
              <w:ind w:right="77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152,990</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101,340</w:t>
            </w:r>
          </w:p>
        </w:tc>
        <w:tc>
          <w:tcPr>
            <w:tcW w:w="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431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431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342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342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The relevant government audit was completed and, as a result, the outstanding balance for government contract receivables was received as of December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ind w:left="760"/>
        <w:spacing w:after="0"/>
        <w:rPr>
          <w:sz w:val="20"/>
          <w:szCs w:val="20"/>
          <w:color w:val="auto"/>
        </w:rPr>
      </w:pPr>
      <w:r>
        <w:rPr>
          <w:rFonts w:ascii="Arial" w:cs="Arial" w:eastAsia="Arial" w:hAnsi="Arial"/>
          <w:sz w:val="18"/>
          <w:szCs w:val="18"/>
          <w:color w:val="auto"/>
        </w:rPr>
        <w:t>The following table summarizes an analysis of the change in reserves for discounts and allowances for the periods indicated:</w:t>
      </w:r>
    </w:p>
    <w:p>
      <w:pPr>
        <w:spacing w:after="0" w:line="200" w:lineRule="exact"/>
        <w:rPr>
          <w:sz w:val="20"/>
          <w:szCs w:val="20"/>
          <w:color w:val="auto"/>
        </w:rPr>
      </w:pP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Chargebacks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Rebates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Prompt Pay</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Other Accruals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20" w:type="dxa"/>
            <w:vAlign w:val="bottom"/>
            <w:shd w:val="clear" w:color="auto" w:fill="CFF0FD"/>
          </w:tcPr>
          <w:p>
            <w:pPr>
              <w:ind w:left="20"/>
              <w:spacing w:after="0" w:line="202" w:lineRule="exact"/>
              <w:rPr>
                <w:sz w:val="20"/>
                <w:szCs w:val="20"/>
                <w:color w:val="auto"/>
              </w:rPr>
            </w:pPr>
            <w:r>
              <w:rPr>
                <w:rFonts w:ascii="Arial" w:cs="Arial" w:eastAsia="Arial" w:hAnsi="Arial"/>
                <w:sz w:val="18"/>
                <w:szCs w:val="18"/>
                <w:color w:val="auto"/>
              </w:rPr>
              <w:t>Balance, as of December 31, 2019</w:t>
            </w:r>
          </w:p>
        </w:tc>
        <w:tc>
          <w:tcPr>
            <w:tcW w:w="18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rPr>
              <w:t>588</w:t>
            </w:r>
          </w:p>
        </w:tc>
        <w:tc>
          <w:tcPr>
            <w:tcW w:w="220" w:type="dxa"/>
            <w:vAlign w:val="bottom"/>
            <w:shd w:val="clear" w:color="auto" w:fill="CFF0FD"/>
          </w:tcPr>
          <w:p>
            <w:pPr>
              <w:spacing w:after="0"/>
              <w:rPr>
                <w:sz w:val="17"/>
                <w:szCs w:val="17"/>
                <w:color w:val="auto"/>
              </w:rPr>
            </w:pPr>
          </w:p>
        </w:tc>
        <w:tc>
          <w:tcPr>
            <w:tcW w:w="18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rPr>
              <w:t>44,738</w:t>
            </w:r>
          </w:p>
        </w:tc>
        <w:tc>
          <w:tcPr>
            <w:tcW w:w="240" w:type="dxa"/>
            <w:vAlign w:val="bottom"/>
            <w:shd w:val="clear" w:color="auto" w:fill="CFF0FD"/>
          </w:tcPr>
          <w:p>
            <w:pPr>
              <w:spacing w:after="0"/>
              <w:rPr>
                <w:sz w:val="17"/>
                <w:szCs w:val="17"/>
                <w:color w:val="auto"/>
              </w:rPr>
            </w:pPr>
          </w:p>
        </w:tc>
        <w:tc>
          <w:tcPr>
            <w:tcW w:w="16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rPr>
              <w:t>1,506</w:t>
            </w:r>
          </w:p>
        </w:tc>
        <w:tc>
          <w:tcPr>
            <w:tcW w:w="200" w:type="dxa"/>
            <w:vAlign w:val="bottom"/>
            <w:shd w:val="clear" w:color="auto" w:fill="CFF0FD"/>
          </w:tcPr>
          <w:p>
            <w:pPr>
              <w:spacing w:after="0"/>
              <w:rPr>
                <w:sz w:val="17"/>
                <w:szCs w:val="17"/>
                <w:color w:val="auto"/>
              </w:rPr>
            </w:pPr>
          </w:p>
        </w:tc>
        <w:tc>
          <w:tcPr>
            <w:tcW w:w="14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rPr>
              <w:t>4,671</w:t>
            </w:r>
          </w:p>
        </w:tc>
        <w:tc>
          <w:tcPr>
            <w:tcW w:w="200" w:type="dxa"/>
            <w:vAlign w:val="bottom"/>
            <w:shd w:val="clear" w:color="auto" w:fill="CFF0FD"/>
          </w:tcPr>
          <w:p>
            <w:pPr>
              <w:spacing w:after="0"/>
              <w:rPr>
                <w:sz w:val="17"/>
                <w:szCs w:val="17"/>
                <w:color w:val="auto"/>
              </w:rPr>
            </w:pPr>
          </w:p>
        </w:tc>
        <w:tc>
          <w:tcPr>
            <w:tcW w:w="220" w:type="dxa"/>
            <w:vAlign w:val="bottom"/>
            <w:shd w:val="clear" w:color="auto" w:fill="CFF0FD"/>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D"/>
          </w:tcPr>
          <w:p>
            <w:pPr>
              <w:jc w:val="right"/>
              <w:spacing w:after="0" w:line="202" w:lineRule="exact"/>
              <w:rPr>
                <w:sz w:val="20"/>
                <w:szCs w:val="20"/>
                <w:color w:val="auto"/>
              </w:rPr>
            </w:pPr>
            <w:r>
              <w:rPr>
                <w:rFonts w:ascii="Arial" w:cs="Arial" w:eastAsia="Arial" w:hAnsi="Arial"/>
                <w:sz w:val="18"/>
                <w:szCs w:val="18"/>
                <w:color w:val="auto"/>
              </w:rPr>
              <w:t>51,503</w:t>
            </w:r>
          </w:p>
        </w:tc>
        <w:tc>
          <w:tcPr>
            <w:tcW w:w="80" w:type="dxa"/>
            <w:vAlign w:val="bottom"/>
            <w:shd w:val="clear" w:color="auto" w:fill="CFF0FD"/>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9,700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52,180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6,384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10,175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78,439</w:t>
            </w:r>
          </w:p>
        </w:tc>
        <w:tc>
          <w:tcPr>
            <w:tcW w:w="80" w:type="dxa"/>
            <w:vAlign w:val="bottom"/>
          </w:tcPr>
          <w:p>
            <w:pPr>
              <w:spacing w:after="0"/>
              <w:rPr>
                <w:sz w:val="17"/>
                <w:szCs w:val="17"/>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Payments/credits</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(8,007 )</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(55,147 )</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(5,941 )</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(9,877 )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(78,972 )</w:t>
            </w:r>
          </w:p>
        </w:tc>
      </w:tr>
      <w:tr>
        <w:trPr>
          <w:trHeight w:val="196"/>
        </w:trPr>
        <w:tc>
          <w:tcPr>
            <w:tcW w:w="33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2,281</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41,771</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1,949</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4,969</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50,970</w:t>
            </w:r>
          </w:p>
        </w:tc>
        <w:tc>
          <w:tcPr>
            <w:tcW w:w="80" w:type="dxa"/>
            <w:vAlign w:val="bottom"/>
            <w:tcBorders>
              <w:top w:val="single" w:sz="8" w:color="CFF0FC"/>
            </w:tcBorders>
          </w:tcPr>
          <w:p>
            <w:pPr>
              <w:spacing w:after="0"/>
              <w:rPr>
                <w:sz w:val="17"/>
                <w:szCs w:val="17"/>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13,308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78,637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16,107</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117,452</w:t>
            </w:r>
          </w:p>
        </w:tc>
        <w:tc>
          <w:tcPr>
            <w:tcW w:w="80" w:type="dxa"/>
            <w:vAlign w:val="bottom"/>
            <w:shd w:val="clear" w:color="auto" w:fill="CFF0FC"/>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Payments/credits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(14,790 )</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(59,902 )</w:t>
            </w:r>
          </w:p>
        </w:tc>
        <w:tc>
          <w:tcPr>
            <w:tcW w:w="1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(8,551 )</w:t>
            </w:r>
          </w:p>
        </w:tc>
        <w:tc>
          <w:tcPr>
            <w:tcW w:w="140" w:type="dxa"/>
            <w:vAlign w:val="bottom"/>
          </w:tcPr>
          <w:p>
            <w:pPr>
              <w:spacing w:after="0"/>
              <w:rPr>
                <w:sz w:val="17"/>
                <w:szCs w:val="17"/>
                <w:color w:val="auto"/>
              </w:rPr>
            </w:pP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(14,713 )</w:t>
            </w: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(97,956 )</w:t>
            </w:r>
          </w:p>
        </w:tc>
      </w:tr>
      <w:tr>
        <w:trPr>
          <w:trHeight w:val="236"/>
        </w:trPr>
        <w:tc>
          <w:tcPr>
            <w:tcW w:w="3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as of December 31, 2021</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60,506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2,798</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6,363</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70,466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-561975</wp:posOffset>
            </wp:positionV>
            <wp:extent cx="60325" cy="142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4">
                      <a:extLst>
                        <a:ext uri="{28A0092B-C50C-407E-A947-70E740481C1C}"/>
                      </a:extLst>
                    </a:blip>
                    <a:srcRect/>
                    <a:stretch>
                      <a:fillRect/>
                    </a:stretch>
                  </pic:blipFill>
                  <pic:spPr bwMode="auto">
                    <a:xfrm>
                      <a:off x="0" y="0"/>
                      <a:ext cx="60325" cy="142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-561975</wp:posOffset>
            </wp:positionV>
            <wp:extent cx="60325" cy="142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5">
                      <a:extLst>
                        <a:ext uri="{28A0092B-C50C-407E-A947-70E740481C1C}"/>
                      </a:extLst>
                    </a:blip>
                    <a:srcRect/>
                    <a:stretch>
                      <a:fillRect/>
                    </a:stretch>
                  </pic:blipFill>
                  <pic:spPr bwMode="auto">
                    <a:xfrm>
                      <a:off x="0" y="0"/>
                      <a:ext cx="60325" cy="14287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-561975</wp:posOffset>
            </wp:positionV>
            <wp:extent cx="51435" cy="142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6">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-561975</wp:posOffset>
            </wp:positionV>
            <wp:extent cx="51435" cy="142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7">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-561975</wp:posOffset>
            </wp:positionV>
            <wp:extent cx="51435" cy="142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8">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-25400</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-25400</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total reserves above included in the Company’s consolidated balance sheets for the periods indicated:</w:t>
      </w:r>
    </w:p>
    <w:p>
      <w:pPr>
        <w:spacing w:after="0" w:line="215"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0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Reduction to accounts receivable</w:t>
            </w:r>
          </w:p>
        </w:tc>
        <w:tc>
          <w:tcPr>
            <w:tcW w:w="1340" w:type="dxa"/>
            <w:vAlign w:val="bottom"/>
            <w:shd w:val="clear" w:color="auto" w:fill="CFF0FC"/>
          </w:tcPr>
          <w:p>
            <w:pPr>
              <w:jc w:val="right"/>
              <w:ind w:right="11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8,321</w:t>
            </w:r>
          </w:p>
        </w:tc>
        <w:tc>
          <w:tcPr>
            <w:tcW w:w="78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8,352</w:t>
            </w: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Component of accrued expenses</w:t>
            </w:r>
          </w:p>
        </w:tc>
        <w:tc>
          <w:tcPr>
            <w:tcW w:w="1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62,145</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42,618</w:t>
            </w:r>
          </w:p>
        </w:tc>
        <w:tc>
          <w:tcPr>
            <w:tcW w:w="60" w:type="dxa"/>
            <w:vAlign w:val="bottom"/>
          </w:tcPr>
          <w:p>
            <w:pPr>
              <w:spacing w:after="0"/>
              <w:rPr>
                <w:sz w:val="17"/>
                <w:szCs w:val="17"/>
                <w:color w:val="auto"/>
              </w:rPr>
            </w:pPr>
          </w:p>
        </w:tc>
      </w:tr>
      <w:tr>
        <w:trPr>
          <w:trHeight w:val="236"/>
        </w:trPr>
        <w:tc>
          <w:tcPr>
            <w:tcW w:w="40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reserves</w:t>
            </w:r>
          </w:p>
        </w:tc>
        <w:tc>
          <w:tcPr>
            <w:tcW w:w="1340" w:type="dxa"/>
            <w:vAlign w:val="bottom"/>
            <w:tcBorders>
              <w:bottom w:val="single" w:sz="8" w:color="auto"/>
            </w:tcBorders>
            <w:shd w:val="clear" w:color="auto" w:fill="CFF0FC"/>
          </w:tcPr>
          <w:p>
            <w:pPr>
              <w:jc w:val="right"/>
              <w:ind w:right="1156"/>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70,466</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50,970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342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342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Company’s inventory for each of the periods indicated:</w:t>
      </w:r>
    </w:p>
    <w:p>
      <w:pPr>
        <w:spacing w:after="0" w:line="311" w:lineRule="exact"/>
        <w:rPr>
          <w:sz w:val="20"/>
          <w:szCs w:val="20"/>
          <w:color w:val="auto"/>
        </w:rPr>
      </w:pPr>
    </w:p>
    <w:tbl>
      <w:tblPr>
        <w:tblLayout w:type="fixed"/>
        <w:tblInd w:w="192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37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23"/>
        </w:trPr>
        <w:tc>
          <w:tcPr>
            <w:tcW w:w="3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37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Raw materials</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58,822</w:t>
            </w:r>
          </w:p>
        </w:tc>
        <w:tc>
          <w:tcPr>
            <w:tcW w:w="78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71,717</w:t>
            </w:r>
          </w:p>
        </w:tc>
        <w:tc>
          <w:tcPr>
            <w:tcW w:w="60" w:type="dxa"/>
            <w:vAlign w:val="bottom"/>
            <w:shd w:val="clear" w:color="auto" w:fill="CFF0FC"/>
          </w:tcPr>
          <w:p>
            <w:pPr>
              <w:spacing w:after="0"/>
              <w:rPr>
                <w:sz w:val="17"/>
                <w:szCs w:val="17"/>
                <w:color w:val="auto"/>
              </w:rPr>
            </w:pPr>
          </w:p>
        </w:tc>
      </w:tr>
      <w:tr>
        <w:trPr>
          <w:trHeight w:val="203"/>
        </w:trPr>
        <w:tc>
          <w:tcPr>
            <w:tcW w:w="3780" w:type="dxa"/>
            <w:vAlign w:val="bottom"/>
          </w:tcPr>
          <w:p>
            <w:pPr>
              <w:ind w:left="100"/>
              <w:spacing w:after="0" w:line="202" w:lineRule="exact"/>
              <w:rPr>
                <w:sz w:val="20"/>
                <w:szCs w:val="20"/>
                <w:color w:val="auto"/>
              </w:rPr>
            </w:pPr>
            <w:r>
              <w:rPr>
                <w:rFonts w:ascii="Arial" w:cs="Arial" w:eastAsia="Arial" w:hAnsi="Arial"/>
                <w:sz w:val="18"/>
                <w:szCs w:val="18"/>
                <w:color w:val="auto"/>
              </w:rPr>
              <w:t>Work in progress</w:t>
            </w:r>
          </w:p>
        </w:tc>
        <w:tc>
          <w:tcPr>
            <w:tcW w:w="10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230,194</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139,704</w:t>
            </w:r>
          </w:p>
        </w:tc>
        <w:tc>
          <w:tcPr>
            <w:tcW w:w="60" w:type="dxa"/>
            <w:vAlign w:val="bottom"/>
          </w:tcPr>
          <w:p>
            <w:pPr>
              <w:spacing w:after="0"/>
              <w:rPr>
                <w:sz w:val="17"/>
                <w:szCs w:val="17"/>
                <w:color w:val="auto"/>
              </w:rPr>
            </w:pPr>
          </w:p>
        </w:tc>
      </w:tr>
      <w:tr>
        <w:trPr>
          <w:trHeight w:val="203"/>
        </w:trPr>
        <w:tc>
          <w:tcPr>
            <w:tcW w:w="37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26,717</w:t>
            </w:r>
          </w:p>
        </w:tc>
        <w:tc>
          <w:tcPr>
            <w:tcW w:w="2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20,540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3780" w:type="dxa"/>
            <w:vAlign w:val="bottom"/>
          </w:tcPr>
          <w:p>
            <w:pPr>
              <w:ind w:left="20"/>
              <w:spacing w:after="0" w:line="182" w:lineRule="exact"/>
              <w:rPr>
                <w:sz w:val="20"/>
                <w:szCs w:val="20"/>
                <w:color w:val="auto"/>
              </w:rPr>
            </w:pPr>
            <w:r>
              <w:rPr>
                <w:rFonts w:ascii="Arial" w:cs="Arial" w:eastAsia="Arial" w:hAnsi="Arial"/>
                <w:sz w:val="18"/>
                <w:szCs w:val="18"/>
                <w:color w:val="auto"/>
              </w:rPr>
              <w:t>Total inventory</w:t>
            </w: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w w:val="95"/>
              </w:rPr>
              <w:t>315,733</w:t>
            </w:r>
          </w:p>
        </w:tc>
        <w:tc>
          <w:tcPr>
            <w:tcW w:w="780" w:type="dxa"/>
            <w:vAlign w:val="bottom"/>
            <w:gridSpan w:val="2"/>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231,961</w:t>
            </w:r>
          </w:p>
        </w:tc>
        <w:tc>
          <w:tcPr>
            <w:tcW w:w="6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-159385</wp:posOffset>
            </wp:positionV>
            <wp:extent cx="43180" cy="1600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3">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34290" cy="1600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4">
                      <a:extLst>
                        <a:ext uri="{28A0092B-C50C-407E-A947-70E740481C1C}"/>
                      </a:extLst>
                    </a:blip>
                    <a:srcRect/>
                    <a:stretch>
                      <a:fillRect/>
                    </a:stretch>
                  </pic:blipFill>
                  <pic:spPr bwMode="auto">
                    <a:xfrm>
                      <a:off x="0" y="0"/>
                      <a:ext cx="34290" cy="160020"/>
                    </a:xfrm>
                    <a:prstGeom prst="rect">
                      <a:avLst/>
                    </a:prstGeom>
                    <a:noFill/>
                  </pic:spPr>
                </pic:pic>
              </a:graphicData>
            </a:graphic>
          </wp:anchor>
        </w:drawing>
      </w:r>
    </w:p>
    <w:p>
      <w:pPr>
        <w:spacing w:after="0" w:line="74"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No material inventory reserves existed as of December 31, 2021 or 2020. Non-current inventory, which consists of raw materials and work in progress, is included in other non-current assets in the Company's consolidated balance sheets. Non-current inventory is anticipated to be consumed beyond our normal operating cycle. As of December 31, 2020, we had no non-current inventory.</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balance sheet classification of the Company's inventory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c>
          <w:tcPr>
            <w:tcW w:w="2020" w:type="dxa"/>
            <w:vAlign w:val="bottom"/>
          </w:tcPr>
          <w:p>
            <w:pPr>
              <w:spacing w:after="0"/>
              <w:rPr>
                <w:sz w:val="16"/>
                <w:szCs w:val="16"/>
                <w:color w:val="auto"/>
              </w:rPr>
            </w:pPr>
          </w:p>
        </w:tc>
      </w:tr>
      <w:tr>
        <w:trPr>
          <w:trHeight w:val="209"/>
        </w:trPr>
        <w:tc>
          <w:tcPr>
            <w:tcW w:w="20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2020" w:type="dxa"/>
            <w:vAlign w:val="bottom"/>
          </w:tcPr>
          <w:p>
            <w:pPr>
              <w:spacing w:after="0"/>
              <w:rPr>
                <w:sz w:val="18"/>
                <w:szCs w:val="18"/>
                <w:color w:val="auto"/>
              </w:rPr>
            </w:pPr>
          </w:p>
        </w:tc>
      </w:tr>
      <w:tr>
        <w:trPr>
          <w:trHeight w:val="223"/>
        </w:trPr>
        <w:tc>
          <w:tcPr>
            <w:tcW w:w="2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02"/>
        </w:trPr>
        <w:tc>
          <w:tcPr>
            <w:tcW w:w="2040" w:type="dxa"/>
            <w:vAlign w:val="bottom"/>
          </w:tcPr>
          <w:p>
            <w:pPr>
              <w:spacing w:after="0"/>
              <w:rPr>
                <w:sz w:val="17"/>
                <w:szCs w:val="17"/>
                <w:color w:val="auto"/>
              </w:rPr>
            </w:pPr>
          </w:p>
        </w:tc>
        <w:tc>
          <w:tcPr>
            <w:tcW w:w="2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sheet classification</w:t>
            </w:r>
          </w:p>
        </w:tc>
        <w:tc>
          <w:tcPr>
            <w:tcW w:w="8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2700" w:type="dxa"/>
            <w:vAlign w:val="bottom"/>
          </w:tcPr>
          <w:p>
            <w:pPr>
              <w:ind w:left="100"/>
              <w:spacing w:after="0" w:line="202" w:lineRule="exact"/>
              <w:rPr>
                <w:sz w:val="20"/>
                <w:szCs w:val="20"/>
                <w:color w:val="auto"/>
              </w:rPr>
            </w:pPr>
            <w:r>
              <w:rPr>
                <w:rFonts w:ascii="Arial" w:cs="Arial" w:eastAsia="Arial" w:hAnsi="Arial"/>
                <w:sz w:val="18"/>
                <w:szCs w:val="18"/>
                <w:color w:val="auto"/>
              </w:rPr>
              <w:t>Inventory</w:t>
            </w:r>
          </w:p>
        </w:tc>
        <w:tc>
          <w:tcPr>
            <w:tcW w:w="1920" w:type="dxa"/>
            <w:vAlign w:val="bottom"/>
            <w:gridSpan w:val="2"/>
          </w:tcPr>
          <w:p>
            <w:pPr>
              <w:jc w:val="right"/>
              <w:ind w:right="859"/>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186,212</w:t>
            </w:r>
          </w:p>
        </w:tc>
        <w:tc>
          <w:tcPr>
            <w:tcW w:w="76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231,961</w:t>
            </w:r>
          </w:p>
        </w:tc>
        <w:tc>
          <w:tcPr>
            <w:tcW w:w="202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270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non-current assets</w:t>
            </w:r>
          </w:p>
        </w:tc>
        <w:tc>
          <w:tcPr>
            <w:tcW w:w="8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129,521</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tcPr>
          <w:p>
            <w:pPr>
              <w:spacing w:after="0"/>
              <w:rPr>
                <w:sz w:val="17"/>
                <w:szCs w:val="17"/>
                <w:color w:val="auto"/>
              </w:rPr>
            </w:pPr>
          </w:p>
        </w:tc>
      </w:tr>
      <w:tr>
        <w:trPr>
          <w:trHeight w:val="196"/>
        </w:trPr>
        <w:tc>
          <w:tcPr>
            <w:tcW w:w="2040" w:type="dxa"/>
            <w:vAlign w:val="bottom"/>
          </w:tcPr>
          <w:p>
            <w:pPr>
              <w:spacing w:after="0"/>
              <w:rPr>
                <w:sz w:val="17"/>
                <w:szCs w:val="17"/>
                <w:color w:val="auto"/>
              </w:rPr>
            </w:pPr>
          </w:p>
        </w:tc>
        <w:tc>
          <w:tcPr>
            <w:tcW w:w="2700" w:type="dxa"/>
            <w:vAlign w:val="bottom"/>
          </w:tcPr>
          <w:p>
            <w:pPr>
              <w:spacing w:after="0" w:line="182" w:lineRule="exact"/>
              <w:rPr>
                <w:sz w:val="20"/>
                <w:szCs w:val="20"/>
                <w:color w:val="auto"/>
              </w:rPr>
            </w:pPr>
            <w:r>
              <w:rPr>
                <w:rFonts w:ascii="Arial" w:cs="Arial" w:eastAsia="Arial" w:hAnsi="Arial"/>
                <w:sz w:val="18"/>
                <w:szCs w:val="18"/>
                <w:color w:val="auto"/>
              </w:rPr>
              <w:t>Total inventory</w:t>
            </w:r>
          </w:p>
        </w:tc>
        <w:tc>
          <w:tcPr>
            <w:tcW w:w="880" w:type="dxa"/>
            <w:vAlign w:val="bottom"/>
          </w:tcPr>
          <w:p>
            <w:pPr>
              <w:spacing w:after="0"/>
              <w:rPr>
                <w:sz w:val="17"/>
                <w:szCs w:val="17"/>
                <w:color w:val="auto"/>
              </w:rPr>
            </w:pPr>
          </w:p>
        </w:tc>
        <w:tc>
          <w:tcPr>
            <w:tcW w:w="1040" w:type="dxa"/>
            <w:vAlign w:val="bottom"/>
            <w:tcBorders>
              <w:bottom w:val="single" w:sz="8" w:color="auto"/>
            </w:tcBorders>
          </w:tcPr>
          <w:p>
            <w:pPr>
              <w:jc w:val="right"/>
              <w:ind w:right="859"/>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315,733</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231,961</w:t>
            </w:r>
          </w:p>
        </w:tc>
        <w:tc>
          <w:tcPr>
            <w:tcW w:w="2020" w:type="dxa"/>
            <w:vAlign w:val="bottom"/>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25"/>
        </w:trPr>
        <w:tc>
          <w:tcPr>
            <w:tcW w:w="2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20" w:type="dxa"/>
            <w:vAlign w:val="bottom"/>
            <w:gridSpan w:val="2"/>
          </w:tcPr>
          <w:p>
            <w:pPr>
              <w:jc w:val="right"/>
              <w:ind w:right="779"/>
              <w:spacing w:after="0"/>
              <w:rPr>
                <w:sz w:val="20"/>
                <w:szCs w:val="20"/>
                <w:color w:val="auto"/>
              </w:rPr>
            </w:pPr>
            <w:r>
              <w:rPr>
                <w:rFonts w:ascii="Arial" w:cs="Arial" w:eastAsia="Arial" w:hAnsi="Arial"/>
                <w:sz w:val="18"/>
                <w:szCs w:val="18"/>
                <w:color w:val="auto"/>
              </w:rPr>
              <w:t>F-23</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01"/>
        </w:trPr>
        <w:tc>
          <w:tcPr>
            <w:tcW w:w="204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-836295</wp:posOffset>
            </wp:positionV>
            <wp:extent cx="43180" cy="1600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5">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-836295</wp:posOffset>
            </wp:positionV>
            <wp:extent cx="34290" cy="1600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6">
                      <a:extLst>
                        <a:ext uri="{28A0092B-C50C-407E-A947-70E740481C1C}"/>
                      </a:extLst>
                    </a:blip>
                    <a:srcRect/>
                    <a:stretch>
                      <a:fillRect/>
                    </a:stretch>
                  </pic:blipFill>
                  <pic:spPr bwMode="auto">
                    <a:xfrm>
                      <a:off x="0" y="0"/>
                      <a:ext cx="34290" cy="1600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9. OTHER ASSETS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other current assets for each of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23"/>
        </w:trPr>
        <w:tc>
          <w:tcPr>
            <w:tcW w:w="4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Manufacturing-related deposits and prepaids</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93,656</w:t>
            </w:r>
          </w:p>
        </w:tc>
        <w:tc>
          <w:tcPr>
            <w:tcW w:w="80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134,430</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Collaboration receivable</w:t>
            </w: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18,647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34,184</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clinical and pre-clinical expenses</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12,667</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16,224</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Prepaid maintenance services</w:t>
            </w: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8,452</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6,411</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insurance</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5,282</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4,158</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Prepaid research expenses</w:t>
            </w: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3,082</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5,854</w:t>
            </w: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income tax</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4,939</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Leasehold improvement receivable</w:t>
            </w: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3,059</w:t>
            </w:r>
          </w:p>
        </w:tc>
        <w:tc>
          <w:tcPr>
            <w:tcW w:w="60" w:type="dxa"/>
            <w:vAlign w:val="bottom"/>
          </w:tcPr>
          <w:p>
            <w:pPr>
              <w:spacing w:after="0"/>
              <w:rPr>
                <w:sz w:val="17"/>
                <w:szCs w:val="17"/>
                <w:color w:val="auto"/>
              </w:rPr>
            </w:pPr>
          </w:p>
        </w:tc>
      </w:tr>
      <w:tr>
        <w:trPr>
          <w:trHeight w:val="203"/>
        </w:trPr>
        <w:tc>
          <w:tcPr>
            <w:tcW w:w="42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6,142</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4,065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spacing w:after="0" w:line="182" w:lineRule="exact"/>
              <w:rPr>
                <w:sz w:val="20"/>
                <w:szCs w:val="20"/>
                <w:color w:val="auto"/>
              </w:rPr>
            </w:pPr>
            <w:r>
              <w:rPr>
                <w:rFonts w:ascii="Arial" w:cs="Arial" w:eastAsia="Arial" w:hAnsi="Arial"/>
                <w:sz w:val="18"/>
                <w:szCs w:val="18"/>
                <w:color w:val="auto"/>
              </w:rPr>
              <w:t>Total other current assets</w:t>
            </w:r>
          </w:p>
        </w:tc>
        <w:tc>
          <w:tcPr>
            <w:tcW w:w="1020" w:type="dxa"/>
            <w:vAlign w:val="bottom"/>
          </w:tcPr>
          <w:p>
            <w:pPr>
              <w:jc w:val="right"/>
              <w:ind w:right="83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w w:val="95"/>
              </w:rPr>
              <w:t>149,028</w:t>
            </w:r>
          </w:p>
        </w:tc>
        <w:tc>
          <w:tcPr>
            <w:tcW w:w="800" w:type="dxa"/>
            <w:vAlign w:val="bottom"/>
            <w:gridSpan w:val="2"/>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213,324</w:t>
            </w:r>
          </w:p>
        </w:tc>
        <w:tc>
          <w:tcPr>
            <w:tcW w:w="6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-159385</wp:posOffset>
            </wp:positionV>
            <wp:extent cx="3429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other non-current assets for each of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23"/>
        </w:trPr>
        <w:tc>
          <w:tcPr>
            <w:tcW w:w="4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Non-current inventory</w:t>
            </w:r>
          </w:p>
        </w:tc>
        <w:tc>
          <w:tcPr>
            <w:tcW w:w="1040" w:type="dxa"/>
            <w:vAlign w:val="bottom"/>
            <w:shd w:val="clear" w:color="auto" w:fill="CFF0FC"/>
          </w:tcPr>
          <w:p>
            <w:pPr>
              <w:jc w:val="right"/>
              <w:ind w:right="85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129,521</w:t>
            </w:r>
          </w:p>
        </w:tc>
        <w:tc>
          <w:tcPr>
            <w:tcW w:w="80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Manufacturing-related deposits and prepaids</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2"/>
              </w:rPr>
              <w:t>112,765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148,525</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Strategic investments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34,892</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38,799</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Restricted cash and investments</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9,904</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9,315</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clinical expenses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2,007</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3,395</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3,860</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3,669</w:t>
            </w:r>
          </w:p>
        </w:tc>
        <w:tc>
          <w:tcPr>
            <w:tcW w:w="60" w:type="dxa"/>
            <w:vAlign w:val="bottom"/>
          </w:tcPr>
          <w:p>
            <w:pPr>
              <w:spacing w:after="0"/>
              <w:rPr>
                <w:sz w:val="17"/>
                <w:szCs w:val="17"/>
                <w:color w:val="auto"/>
              </w:rPr>
            </w:pPr>
          </w:p>
        </w:tc>
      </w:tr>
      <w:tr>
        <w:trPr>
          <w:trHeight w:val="236"/>
        </w:trPr>
        <w:tc>
          <w:tcPr>
            <w:tcW w:w="4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other non-current assets</w:t>
            </w:r>
          </w:p>
        </w:tc>
        <w:tc>
          <w:tcPr>
            <w:tcW w:w="1040" w:type="dxa"/>
            <w:vAlign w:val="bottom"/>
            <w:tcBorders>
              <w:bottom w:val="single" w:sz="8" w:color="auto"/>
            </w:tcBorders>
            <w:shd w:val="clear" w:color="auto" w:fill="CFF0FC"/>
          </w:tcPr>
          <w:p>
            <w:pPr>
              <w:jc w:val="right"/>
              <w:ind w:right="85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292,949</w:t>
            </w:r>
          </w:p>
        </w:tc>
        <w:tc>
          <w:tcPr>
            <w:tcW w:w="2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203,703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431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 NET</w:t>
      </w:r>
    </w:p>
    <w:p>
      <w:pPr>
        <w:spacing w:after="0" w:line="108"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Property and equipment are recorded at historical cost, net of accumulated depreciation. The following table summarizes components of property and equipment, net, for each of the periods indicated:</w:t>
      </w:r>
    </w:p>
    <w:p>
      <w:pPr>
        <w:spacing w:after="0" w:line="230"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1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71"/>
              </w:rPr>
              <w:t>thousands)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Leasehold improvements</w:t>
            </w:r>
          </w:p>
        </w:tc>
        <w:tc>
          <w:tcPr>
            <w:tcW w:w="1480" w:type="dxa"/>
            <w:vAlign w:val="bottom"/>
            <w:shd w:val="clear" w:color="auto" w:fill="CFF0FC"/>
          </w:tcPr>
          <w:p>
            <w:pPr>
              <w:jc w:val="right"/>
              <w:ind w:right="1276"/>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103,370</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55,019</w:t>
            </w:r>
          </w:p>
        </w:tc>
        <w:tc>
          <w:tcPr>
            <w:tcW w:w="80" w:type="dxa"/>
            <w:vAlign w:val="bottom"/>
            <w:shd w:val="clear" w:color="auto" w:fill="CFF0FC"/>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Lab and manufacturing equipment</w:t>
            </w:r>
          </w:p>
        </w:tc>
        <w:tc>
          <w:tcPr>
            <w:tcW w:w="1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64,613</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49,571</w:t>
            </w:r>
          </w:p>
        </w:tc>
        <w:tc>
          <w:tcPr>
            <w:tcW w:w="80" w:type="dxa"/>
            <w:vAlign w:val="bottom"/>
          </w:tcPr>
          <w:p>
            <w:pPr>
              <w:spacing w:after="0"/>
              <w:rPr>
                <w:sz w:val="17"/>
                <w:szCs w:val="17"/>
                <w:color w:val="auto"/>
              </w:rPr>
            </w:pPr>
          </w:p>
        </w:tc>
      </w:tr>
      <w:tr>
        <w:trPr>
          <w:trHeight w:val="203"/>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Building and improvements</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47,605</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39,397</w:t>
            </w:r>
          </w:p>
        </w:tc>
        <w:tc>
          <w:tcPr>
            <w:tcW w:w="80" w:type="dxa"/>
            <w:vAlign w:val="bottom"/>
            <w:shd w:val="clear" w:color="auto" w:fill="CFF0FC"/>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Software and computer equipment</w:t>
            </w:r>
          </w:p>
        </w:tc>
        <w:tc>
          <w:tcPr>
            <w:tcW w:w="1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42,506</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33,948</w:t>
            </w:r>
          </w:p>
        </w:tc>
        <w:tc>
          <w:tcPr>
            <w:tcW w:w="80" w:type="dxa"/>
            <w:vAlign w:val="bottom"/>
          </w:tcPr>
          <w:p>
            <w:pPr>
              <w:spacing w:after="0"/>
              <w:rPr>
                <w:sz w:val="17"/>
                <w:szCs w:val="17"/>
                <w:color w:val="auto"/>
              </w:rPr>
            </w:pPr>
          </w:p>
        </w:tc>
      </w:tr>
      <w:tr>
        <w:trPr>
          <w:trHeight w:val="203"/>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Furniture and fixtures</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9,242</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7,010</w:t>
            </w:r>
          </w:p>
        </w:tc>
        <w:tc>
          <w:tcPr>
            <w:tcW w:w="80" w:type="dxa"/>
            <w:vAlign w:val="bottom"/>
            <w:shd w:val="clear" w:color="auto" w:fill="CFF0FC"/>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Land</w:t>
            </w:r>
          </w:p>
        </w:tc>
        <w:tc>
          <w:tcPr>
            <w:tcW w:w="1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5,183</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5,183</w:t>
            </w:r>
          </w:p>
        </w:tc>
        <w:tc>
          <w:tcPr>
            <w:tcW w:w="80" w:type="dxa"/>
            <w:vAlign w:val="bottom"/>
          </w:tcPr>
          <w:p>
            <w:pPr>
              <w:spacing w:after="0"/>
              <w:rPr>
                <w:sz w:val="17"/>
                <w:szCs w:val="17"/>
                <w:color w:val="auto"/>
              </w:rPr>
            </w:pPr>
          </w:p>
        </w:tc>
      </w:tr>
      <w:tr>
        <w:trPr>
          <w:trHeight w:val="203"/>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Land improvements</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4,921</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3,610</w:t>
            </w:r>
          </w:p>
        </w:tc>
        <w:tc>
          <w:tcPr>
            <w:tcW w:w="80" w:type="dxa"/>
            <w:vAlign w:val="bottom"/>
            <w:shd w:val="clear" w:color="auto" w:fill="CFF0FC"/>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Office equipment</w:t>
            </w:r>
          </w:p>
        </w:tc>
        <w:tc>
          <w:tcPr>
            <w:tcW w:w="1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1,189</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80" w:type="dxa"/>
            <w:vAlign w:val="bottom"/>
          </w:tcPr>
          <w:p>
            <w:pPr>
              <w:spacing w:after="0"/>
              <w:rPr>
                <w:sz w:val="17"/>
                <w:szCs w:val="17"/>
                <w:color w:val="auto"/>
              </w:rPr>
            </w:pPr>
          </w:p>
        </w:tc>
      </w:tr>
      <w:tr>
        <w:trPr>
          <w:trHeight w:val="203"/>
        </w:trPr>
        <w:tc>
          <w:tcPr>
            <w:tcW w:w="42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Construction in progress</w:t>
            </w:r>
          </w:p>
        </w:tc>
        <w:tc>
          <w:tcPr>
            <w:tcW w:w="1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25,159</w:t>
            </w:r>
          </w:p>
        </w:tc>
        <w:tc>
          <w:tcPr>
            <w:tcW w:w="3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71,541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26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gross</w:t>
            </w:r>
          </w:p>
        </w:tc>
        <w:tc>
          <w:tcPr>
            <w:tcW w:w="14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303,788</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266,457</w:t>
            </w:r>
          </w:p>
        </w:tc>
        <w:tc>
          <w:tcPr>
            <w:tcW w:w="80" w:type="dxa"/>
            <w:vAlign w:val="bottom"/>
          </w:tcPr>
          <w:p>
            <w:pPr>
              <w:spacing w:after="0"/>
              <w:rPr>
                <w:sz w:val="17"/>
                <w:szCs w:val="17"/>
                <w:color w:val="auto"/>
              </w:rPr>
            </w:pPr>
          </w:p>
        </w:tc>
      </w:tr>
      <w:tr>
        <w:trPr>
          <w:trHeight w:val="203"/>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(112,632 )</w:t>
            </w:r>
          </w:p>
        </w:tc>
        <w:tc>
          <w:tcPr>
            <w:tcW w:w="6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(76,027 )</w:t>
            </w:r>
          </w:p>
        </w:tc>
      </w:tr>
      <w:tr>
        <w:trPr>
          <w:trHeight w:val="196"/>
        </w:trPr>
        <w:tc>
          <w:tcPr>
            <w:tcW w:w="42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Property and equipment, net</w:t>
            </w:r>
          </w:p>
        </w:tc>
        <w:tc>
          <w:tcPr>
            <w:tcW w:w="1480" w:type="dxa"/>
            <w:vAlign w:val="bottom"/>
            <w:tcBorders>
              <w:top w:val="single" w:sz="8" w:color="auto"/>
              <w:bottom w:val="single" w:sz="8" w:color="auto"/>
            </w:tcBorders>
          </w:tcPr>
          <w:p>
            <w:pPr>
              <w:jc w:val="right"/>
              <w:ind w:right="1276"/>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191,156</w:t>
            </w:r>
          </w:p>
        </w:tc>
        <w:tc>
          <w:tcPr>
            <w:tcW w:w="320" w:type="dxa"/>
            <w:vAlign w:val="bottom"/>
            <w:tcBorders>
              <w:top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190,430</w:t>
            </w:r>
          </w:p>
        </w:tc>
        <w:tc>
          <w:tcPr>
            <w:tcW w:w="80" w:type="dxa"/>
            <w:vAlign w:val="bottom"/>
            <w:tcBorders>
              <w:top w:val="single" w:sz="8" w:color="CFF0FC"/>
            </w:tcBorders>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-424815</wp:posOffset>
            </wp:positionV>
            <wp:extent cx="6032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-424815</wp:posOffset>
            </wp:positionV>
            <wp:extent cx="5969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-159385</wp:posOffset>
            </wp:positionV>
            <wp:extent cx="6032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-159385</wp:posOffset>
            </wp:positionV>
            <wp:extent cx="5969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right="860" w:firstLine="749"/>
        <w:spacing w:after="0" w:line="261" w:lineRule="auto"/>
        <w:rPr>
          <w:sz w:val="20"/>
          <w:szCs w:val="20"/>
          <w:color w:val="auto"/>
        </w:rPr>
      </w:pPr>
      <w:r>
        <w:rPr>
          <w:rFonts w:ascii="Arial" w:cs="Arial" w:eastAsia="Arial" w:hAnsi="Arial"/>
          <w:sz w:val="18"/>
          <w:szCs w:val="18"/>
          <w:color w:val="auto"/>
        </w:rPr>
        <w:t>For the years ended December 31, 2021, 2020 and 2019, depreciation expense totaled $36.6 million, $25.2 million and $22.8 million,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11. INTANGIBLE ASSETS, NET</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Company’s intangible assets for each of the periods indicated:</w:t>
      </w:r>
    </w:p>
    <w:p>
      <w:pPr>
        <w:spacing w:after="0" w:line="311"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380" w:type="dxa"/>
            <w:vAlign w:val="bottom"/>
          </w:tcPr>
          <w:p>
            <w:pPr>
              <w:spacing w:after="0"/>
              <w:rPr>
                <w:sz w:val="16"/>
                <w:szCs w:val="16"/>
                <w:color w:val="auto"/>
              </w:rPr>
            </w:pP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7"/>
        </w:trPr>
        <w:tc>
          <w:tcPr>
            <w:tcW w:w="4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Patents</w:t>
            </w:r>
          </w:p>
        </w:tc>
        <w:tc>
          <w:tcPr>
            <w:tcW w:w="1520" w:type="dxa"/>
            <w:vAlign w:val="bottom"/>
            <w:shd w:val="clear" w:color="auto" w:fill="CFF0FC"/>
          </w:tcPr>
          <w:p>
            <w:pPr>
              <w:jc w:val="right"/>
              <w:ind w:right="133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12,382</w:t>
            </w: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11,210</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In-licensed rights</w:t>
            </w:r>
          </w:p>
        </w:tc>
        <w:tc>
          <w:tcPr>
            <w:tcW w:w="1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8,573</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8,073</w:t>
            </w:r>
          </w:p>
        </w:tc>
        <w:tc>
          <w:tcPr>
            <w:tcW w:w="100" w:type="dxa"/>
            <w:vAlign w:val="bottom"/>
          </w:tcPr>
          <w:p>
            <w:pPr>
              <w:spacing w:after="0"/>
              <w:rPr>
                <w:sz w:val="17"/>
                <w:szCs w:val="17"/>
                <w:color w:val="auto"/>
              </w:rPr>
            </w:pPr>
          </w:p>
        </w:tc>
      </w:tr>
      <w:tr>
        <w:trPr>
          <w:trHeight w:val="203"/>
        </w:trPr>
        <w:tc>
          <w:tcPr>
            <w:tcW w:w="43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Software licenses</w:t>
            </w:r>
          </w:p>
        </w:tc>
        <w:tc>
          <w:tcPr>
            <w:tcW w:w="15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w:t>
            </w:r>
          </w:p>
        </w:tc>
        <w:tc>
          <w:tcPr>
            <w:tcW w:w="3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80" w:type="dxa"/>
            <w:vAlign w:val="bottom"/>
          </w:tcPr>
          <w:p>
            <w:pPr>
              <w:ind w:left="20"/>
              <w:spacing w:after="0" w:line="196" w:lineRule="exact"/>
              <w:rPr>
                <w:sz w:val="20"/>
                <w:szCs w:val="20"/>
                <w:color w:val="auto"/>
              </w:rPr>
            </w:pPr>
            <w:r>
              <w:rPr>
                <w:rFonts w:ascii="Arial" w:cs="Arial" w:eastAsia="Arial" w:hAnsi="Arial"/>
                <w:sz w:val="18"/>
                <w:szCs w:val="18"/>
                <w:color w:val="auto"/>
              </w:rPr>
              <w:t>Intangible assets, gross</w:t>
            </w:r>
          </w:p>
        </w:tc>
        <w:tc>
          <w:tcPr>
            <w:tcW w:w="15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21,254</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20,837</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(7,015 )</w:t>
            </w:r>
          </w:p>
        </w:tc>
        <w:tc>
          <w:tcPr>
            <w:tcW w:w="7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(7,209 )</w:t>
            </w:r>
          </w:p>
        </w:tc>
      </w:tr>
      <w:tr>
        <w:trPr>
          <w:trHeight w:val="196"/>
        </w:trPr>
        <w:tc>
          <w:tcPr>
            <w:tcW w:w="43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Intangible assets, net</w:t>
            </w:r>
          </w:p>
        </w:tc>
        <w:tc>
          <w:tcPr>
            <w:tcW w:w="1520" w:type="dxa"/>
            <w:vAlign w:val="bottom"/>
            <w:tcBorders>
              <w:top w:val="single" w:sz="8" w:color="auto"/>
              <w:bottom w:val="single" w:sz="8" w:color="auto"/>
            </w:tcBorders>
          </w:tcPr>
          <w:p>
            <w:pPr>
              <w:jc w:val="right"/>
              <w:ind w:right="1336"/>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14,239</w:t>
            </w:r>
          </w:p>
        </w:tc>
        <w:tc>
          <w:tcPr>
            <w:tcW w:w="340" w:type="dxa"/>
            <w:vAlign w:val="bottom"/>
            <w:tcBorders>
              <w:top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13,628</w:t>
            </w:r>
          </w:p>
        </w:tc>
        <w:tc>
          <w:tcPr>
            <w:tcW w:w="100" w:type="dxa"/>
            <w:vAlign w:val="bottom"/>
            <w:tcBorders>
              <w:top w:val="single" w:sz="8" w:color="CFF0FC"/>
            </w:tcBorders>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-424815</wp:posOffset>
            </wp:positionV>
            <wp:extent cx="60325" cy="133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0">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-424815</wp:posOffset>
            </wp:positionV>
            <wp:extent cx="60325" cy="133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1">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-159385</wp:posOffset>
            </wp:positionV>
            <wp:extent cx="60325" cy="1600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2">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-159385</wp:posOffset>
            </wp:positionV>
            <wp:extent cx="60325" cy="1600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3">
                      <a:extLst>
                        <a:ext uri="{28A0092B-C50C-407E-A947-70E740481C1C}"/>
                      </a:extLst>
                    </a:blip>
                    <a:srcRect/>
                    <a:stretch>
                      <a:fillRect/>
                    </a:stretch>
                  </pic:blipFill>
                  <pic:spPr bwMode="auto">
                    <a:xfrm>
                      <a:off x="0" y="0"/>
                      <a:ext cx="60325" cy="160020"/>
                    </a:xfrm>
                    <a:prstGeom prst="rect">
                      <a:avLst/>
                    </a:prstGeom>
                    <a:noFill/>
                  </pic:spPr>
                </pic:pic>
              </a:graphicData>
            </a:graphic>
          </wp:anchor>
        </w:drawing>
      </w:r>
    </w:p>
    <w:p>
      <w:pPr>
        <w:spacing w:after="0" w:line="209"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 xml:space="preserve">The in-licensed rights relate to agreements with BioMarin and UWA. As a result of the FDA approval of EXONDYS 51, VYONDYS 53 and AMONDYS 45, the Company recorded in-licensed rights of $1.0 million, $0.5 million and $0.5 million, respectively. Following the execution of the settlement and license agreements with BioMarin in July 2017, the Company recorded a $6.6 million intangible asset related to EXONDYS 51 in the U.S. The in-licensed rights are being amortized on a straight-line basis over the remaining life of the related patent because the life of the related patent reflects the expected time period that the Company will benefit from the in-licensed right. For more information about the in-licensed rights, please read </w:t>
      </w:r>
      <w:r>
        <w:rPr>
          <w:rFonts w:ascii="Arial" w:cs="Arial" w:eastAsia="Arial" w:hAnsi="Arial"/>
          <w:sz w:val="17"/>
          <w:szCs w:val="17"/>
          <w:i w:val="1"/>
          <w:iCs w:val="1"/>
          <w:color w:val="auto"/>
        </w:rPr>
        <w:t>Note 3,</w:t>
      </w:r>
      <w:r>
        <w:rPr>
          <w:rFonts w:ascii="Arial" w:cs="Arial" w:eastAsia="Arial" w:hAnsi="Arial"/>
          <w:sz w:val="17"/>
          <w:szCs w:val="17"/>
          <w:color w:val="auto"/>
        </w:rPr>
        <w:t xml:space="preserve"> </w:t>
      </w:r>
      <w:r>
        <w:rPr>
          <w:rFonts w:ascii="Arial" w:cs="Arial" w:eastAsia="Arial" w:hAnsi="Arial"/>
          <w:sz w:val="17"/>
          <w:szCs w:val="17"/>
          <w:i w:val="1"/>
          <w:iCs w:val="1"/>
          <w:color w:val="auto"/>
        </w:rPr>
        <w:t>License and Collaboration Agreements</w:t>
      </w:r>
      <w:r>
        <w:rPr>
          <w:rFonts w:ascii="Arial" w:cs="Arial" w:eastAsia="Arial" w:hAnsi="Arial"/>
          <w:sz w:val="17"/>
          <w:szCs w:val="17"/>
          <w:color w:val="auto"/>
        </w:rPr>
        <w:t>. For the years ended December 31, 2021, 2020 and 2019, the Company recorded $0.7 million, $0.7 million and $0.8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of amortization related to the in-licensed rights.</w:t>
      </w:r>
    </w:p>
    <w:p>
      <w:pPr>
        <w:spacing w:after="0" w:line="180"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Patent amortization expense was $0.6 million, $0.6 million and $0.4 million for the years ended December 31, 2021, 2020 and 2019, respectively. The Company also expensed the remaining net book value of previously capitalized patents that were later abandoned of $0.5 million, $0.1 million and $0.2 million for the years ended December 31, 2021, 2020 and 2019, respectively, which were included in research and development expenses on the consolidated statements of operations and comprehensive loss.</w:t>
      </w:r>
    </w:p>
    <w:p>
      <w:pPr>
        <w:spacing w:after="0" w:line="188"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Amortization related to internal use software was less than $0.1 million, $0.5 million and $0.4 million for the years ended December 31, 2021, 2020 and 2019, respectively.</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estimated future amortization for intangible assets: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275"/>
              <w:spacing w:after="0"/>
              <w:rPr>
                <w:sz w:val="20"/>
                <w:szCs w:val="20"/>
                <w:color w:val="auto"/>
              </w:rPr>
            </w:pPr>
            <w:r>
              <w:rPr>
                <w:rFonts w:ascii="Arial" w:cs="Arial" w:eastAsia="Arial" w:hAnsi="Arial"/>
                <w:sz w:val="14"/>
                <w:szCs w:val="14"/>
                <w:b w:val="1"/>
                <w:bCs w:val="1"/>
                <w:color w:val="auto"/>
                <w:w w:val="91"/>
              </w:rPr>
              <w:t>As of</w:t>
            </w:r>
          </w:p>
        </w:tc>
        <w:tc>
          <w:tcPr>
            <w:tcW w:w="2240" w:type="dxa"/>
            <w:vAlign w:val="bottom"/>
          </w:tcPr>
          <w:p>
            <w:pPr>
              <w:spacing w:after="0"/>
              <w:rPr>
                <w:sz w:val="14"/>
                <w:szCs w:val="14"/>
                <w:color w:val="auto"/>
              </w:rPr>
            </w:pPr>
          </w:p>
        </w:tc>
      </w:tr>
      <w:tr>
        <w:trPr>
          <w:trHeight w:val="185"/>
        </w:trPr>
        <w:tc>
          <w:tcPr>
            <w:tcW w:w="2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December 31, 2021</w:t>
            </w:r>
          </w:p>
        </w:tc>
        <w:tc>
          <w:tcPr>
            <w:tcW w:w="2240" w:type="dxa"/>
            <w:vAlign w:val="bottom"/>
          </w:tcPr>
          <w:p>
            <w:pPr>
              <w:spacing w:after="0"/>
              <w:rPr>
                <w:sz w:val="16"/>
                <w:szCs w:val="16"/>
                <w:color w:val="auto"/>
              </w:rPr>
            </w:pPr>
          </w:p>
        </w:tc>
      </w:tr>
      <w:tr>
        <w:trPr>
          <w:trHeight w:val="196"/>
        </w:trPr>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center"/>
              <w:ind w:right="235"/>
              <w:spacing w:after="0"/>
              <w:rPr>
                <w:sz w:val="20"/>
                <w:szCs w:val="20"/>
                <w:color w:val="auto"/>
              </w:rPr>
            </w:pPr>
            <w:r>
              <w:rPr>
                <w:rFonts w:ascii="Arial" w:cs="Arial" w:eastAsia="Arial" w:hAnsi="Arial"/>
                <w:sz w:val="14"/>
                <w:szCs w:val="14"/>
                <w:b w:val="1"/>
                <w:bCs w:val="1"/>
                <w:color w:val="auto"/>
                <w:w w:val="91"/>
              </w:rPr>
              <w:t>(in thousands)</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2022</w:t>
            </w:r>
          </w:p>
        </w:tc>
        <w:tc>
          <w:tcPr>
            <w:tcW w:w="29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1,395</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2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1,394</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2024</w:t>
            </w:r>
          </w:p>
        </w:tc>
        <w:tc>
          <w:tcPr>
            <w:tcW w:w="2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1,391</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2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1,330</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2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1,200</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020" w:type="dxa"/>
            <w:vAlign w:val="bottom"/>
          </w:tcPr>
          <w:p>
            <w:pPr>
              <w:ind w:left="100"/>
              <w:spacing w:after="0" w:line="202" w:lineRule="exact"/>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7,529</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14,239</w:t>
            </w:r>
          </w:p>
        </w:tc>
        <w:tc>
          <w:tcPr>
            <w:tcW w:w="2240" w:type="dxa"/>
            <w:vAlign w:val="bottom"/>
          </w:tcPr>
          <w:p>
            <w:pPr>
              <w:spacing w:after="0"/>
              <w:rPr>
                <w:sz w:val="20"/>
                <w:szCs w:val="20"/>
                <w:color w:val="auto"/>
              </w:rPr>
            </w:pPr>
          </w:p>
        </w:tc>
      </w:tr>
      <w:tr>
        <w:trPr>
          <w:trHeight w:val="615"/>
        </w:trPr>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60" w:type="dxa"/>
            <w:vAlign w:val="bottom"/>
            <w:gridSpan w:val="2"/>
          </w:tcPr>
          <w:p>
            <w:pPr>
              <w:jc w:val="right"/>
              <w:ind w:right="1350"/>
              <w:spacing w:after="0"/>
              <w:rPr>
                <w:sz w:val="20"/>
                <w:szCs w:val="20"/>
                <w:color w:val="auto"/>
              </w:rPr>
            </w:pPr>
            <w:r>
              <w:rPr>
                <w:rFonts w:ascii="Arial" w:cs="Arial" w:eastAsia="Arial" w:hAnsi="Arial"/>
                <w:sz w:val="18"/>
                <w:szCs w:val="18"/>
                <w:color w:val="auto"/>
              </w:rPr>
              <w:t>F-25</w:t>
            </w:r>
          </w:p>
        </w:tc>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-505460</wp:posOffset>
            </wp:positionV>
            <wp:extent cx="342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-488315</wp:posOffset>
            </wp:positionV>
            <wp:extent cx="342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12. ACCRUED EXPENSES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accrued expenses for each of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As of December 31,</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71"/>
              </w:rPr>
              <w:t>thousands)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contract manufacturing costs</w:t>
            </w:r>
          </w:p>
        </w:tc>
        <w:tc>
          <w:tcPr>
            <w:tcW w:w="1040" w:type="dxa"/>
            <w:vAlign w:val="bottom"/>
            <w:shd w:val="clear" w:color="auto" w:fill="CFF0FC"/>
          </w:tcPr>
          <w:p>
            <w:pPr>
              <w:jc w:val="right"/>
              <w:ind w:right="85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104,311</w:t>
            </w:r>
          </w:p>
        </w:tc>
        <w:tc>
          <w:tcPr>
            <w:tcW w:w="800" w:type="dxa"/>
            <w:vAlign w:val="bottom"/>
            <w:gridSpan w:val="2"/>
            <w:shd w:val="clear" w:color="auto" w:fill="CFF0FC"/>
          </w:tcPr>
          <w:p>
            <w:pPr>
              <w:jc w:val="center"/>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36,543</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Product revenue related reserves</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62,145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42,618</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employee compensation costs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48,299</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50,803</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Accrued clinical and pre-clinical costs</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25,955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22,169</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royalties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11,965</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7,793</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Accrued professional fees</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9,381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10,221</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collaboration cost-sharing</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2,887</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3,516</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Accrued interest expense</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1,045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1,045</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milestone and license expense</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9,380</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5,609</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9,465</w:t>
            </w:r>
          </w:p>
        </w:tc>
        <w:tc>
          <w:tcPr>
            <w:tcW w:w="60" w:type="dxa"/>
            <w:vAlign w:val="bottom"/>
          </w:tcPr>
          <w:p>
            <w:pPr>
              <w:spacing w:after="0"/>
              <w:rPr>
                <w:sz w:val="17"/>
                <w:szCs w:val="17"/>
                <w:color w:val="auto"/>
              </w:rPr>
            </w:pPr>
          </w:p>
        </w:tc>
      </w:tr>
      <w:tr>
        <w:trPr>
          <w:trHeight w:val="236"/>
        </w:trPr>
        <w:tc>
          <w:tcPr>
            <w:tcW w:w="4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accrued expenses</w:t>
            </w:r>
          </w:p>
        </w:tc>
        <w:tc>
          <w:tcPr>
            <w:tcW w:w="1040" w:type="dxa"/>
            <w:vAlign w:val="bottom"/>
            <w:tcBorders>
              <w:bottom w:val="single" w:sz="8" w:color="auto"/>
            </w:tcBorders>
            <w:shd w:val="clear" w:color="auto" w:fill="CFF0FC"/>
          </w:tcPr>
          <w:p>
            <w:pPr>
              <w:jc w:val="right"/>
              <w:ind w:right="85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271,697</w:t>
            </w:r>
          </w:p>
        </w:tc>
        <w:tc>
          <w:tcPr>
            <w:tcW w:w="2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center"/>
              <w:ind w:right="3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193,553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-25400</wp:posOffset>
            </wp:positionV>
            <wp:extent cx="431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431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INDEBTEDNESS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2024 Convertible Notes</w:t>
      </w:r>
    </w:p>
    <w:p>
      <w:pPr>
        <w:spacing w:after="0" w:line="104" w:lineRule="exact"/>
        <w:rPr>
          <w:sz w:val="20"/>
          <w:szCs w:val="20"/>
          <w:color w:val="auto"/>
        </w:rPr>
      </w:pPr>
    </w:p>
    <w:p>
      <w:pPr>
        <w:ind w:right="100" w:firstLine="749"/>
        <w:spacing w:after="0" w:line="279" w:lineRule="auto"/>
        <w:rPr>
          <w:sz w:val="20"/>
          <w:szCs w:val="20"/>
          <w:color w:val="auto"/>
        </w:rPr>
      </w:pPr>
      <w:r>
        <w:rPr>
          <w:rFonts w:ascii="Arial" w:cs="Arial" w:eastAsia="Arial" w:hAnsi="Arial"/>
          <w:sz w:val="16"/>
          <w:szCs w:val="16"/>
          <w:color w:val="auto"/>
        </w:rPr>
        <w:t>On November 14, 2017, the Company issued $570.0 million senior notes due on November 15, 2024. The 2024 Notes were issued at face value and bear interest at the rate of 1.50% per annum, payable semi-annually in cash on each May 15 and November 15, commencing on May 15, 2018. The 2024 Notes contain customary covenants and events of default, occurrence of which permits the certain holders to accelerate all outstanding obligations, including principal and interest. The Company incurred $10.6 million of offering costs, which represents the total debt discount on the 2024 Notes at issuance. The debt discount is amortized under the effective interest method and recorded as additional interest expense over the life of the 2024 Notes.</w:t>
      </w:r>
    </w:p>
    <w:p>
      <w:pPr>
        <w:spacing w:after="0" w:line="5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Upon conversion, the Company may pay cash, shares of its common stock or a combination of cash and stock, as determined by the Company in its discretion. The 2024 Notes may be convertible into 7,763,552 shares of the Company’s common stock under certain circumstances prior to maturity at a conversion rate of 13.621 shares per $1,000 principal amount of the 2024 Notes, which represents a conversion price of $73.42 per share, subject to adjustment under certain conditions.</w:t>
      </w:r>
    </w:p>
    <w:p>
      <w:pPr>
        <w:spacing w:after="0" w:line="80"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To minimize the impact of potential dilution upon conversion of the 2024 Notes, the Company separately entered into capped call transactions with certain counterparties. The capped calls have a strike price of $73.42 and a cap price of $104.88 and are exercisable when and if the 2024 Notes are converted. If, upon conversion of the 2024 Notes, the price of the Company’s common stock is between the strike price and the cap price of the capped calls, the counterparties will deliver shares of the Company’s common stock and/or cash with an aggregate value equal to the difference between the price of the Company’s common stock at the conversion date and the strike price, multiplied by the number of shares of the Company’s common stock related to the capped calls being exercised. The Company paid $50.9 million for these capped calls transactions, which was recorded as additional paid-in capital.</w:t>
      </w:r>
    </w:p>
    <w:p>
      <w:pPr>
        <w:spacing w:after="0" w:line="53"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Upon adoption of ASU 2020-06, the 2024 Notes are accounted for as a single liability measured at its amortized cost. The cumulative effect of the accounting change as of January 1, 2021 increased the carrying amount of the convertible notes by $96.8 million, reduced the accumulated deficit by $60.2 million and reduced additional paid-in capital by $157.0 million. Upon adoption of ASU 2020-06, the effective interest rate on the liability component of the 2024 Notes for the year ended December 31, 2021 was 1.9%. The effective interest rate on the liability component of the 2024 Notes for each of the years ended December 31, 2020 and 2019 was 6.9%. Interest expense of the 2024 Notes was reduced by $22.4 million for the year ended December 31, 2021 as a result of adoption of this guidance. For the years ended December 31, 2021, 2020 and 2019, the interest expense related to the 2024 Notes was $10.7 million, $31.4 million and $29.9 million, respectively.</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December 2019 Term Loan</w:t>
      </w:r>
    </w:p>
    <w:p>
      <w:pPr>
        <w:spacing w:after="0" w:line="10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On December 13, 2019, the Company entered into a loan agreement (the “Credit Agreement”) which provides a term loan (“December 2019 Term Loan”) of $500.0 million with Biopharma Credit PLC and Biopharma Credit Investments V (Master) LP (collectively, the “Lenders”). The December 2019 Term Loan has two tranches: A and B, each of which had an initial loan amount of $250.0 million. On September 24, 2020, the Company entered into a first amendment to Credit Agreement (the “Amendment”),which increased the aggregate principal amount of tranche B of the December 2019 Term Loan from $250.0 million to $300.0 million and revised certain fees. Tranche A and B of the December 2019 Term Loan were drawn down on December 20, 2019 and November 2, 2020 and will mature on December 20, 2023 and December 31, 2024, respectively, when the principal amount of the loan will become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9" w:name="page120"/>
    <w:bookmarkEnd w:id="119"/>
    <w:p>
      <w:pPr>
        <w:spacing w:after="0" w:line="248" w:lineRule="auto"/>
        <w:rPr>
          <w:sz w:val="20"/>
          <w:szCs w:val="20"/>
          <w:color w:val="auto"/>
        </w:rPr>
      </w:pPr>
      <w:r>
        <w:rPr>
          <w:rFonts w:ascii="Arial" w:cs="Arial" w:eastAsia="Arial" w:hAnsi="Arial"/>
          <w:sz w:val="18"/>
          <w:szCs w:val="18"/>
          <w:color w:val="auto"/>
        </w:rPr>
        <w:t>due. Borrowings under the Credit Agreement bear interest at a rate per annum equal to 8.5%, which shall be payable quarterly in arrears. The Company may voluntarily prepay, in whole or in part, the outstanding balance under the December 2019 Term Loan at any time after the tranche A closed but may be obligated to make additional financial considerations to the Lenders.</w:t>
      </w:r>
    </w:p>
    <w:p>
      <w:pPr>
        <w:spacing w:after="0" w:line="74"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Upon draw-down of tranche A and B, the Company received net proceeds of $244.9 million and $291.1 million, net of debt discounts of $9.4 million and $14.9 million relating to fees payable to the Lenders, respectively. Of the fees payable to the Lenders related to tranche A and B, $5.0 million and $6.0 million are expected to be paid on December 20, 2023 and December 31, 2024, respectively. The debt discounts are being treated as a reduction to the carrying value of tranche A and B of the December 2019 Term Loan and amortized as interest expense over the term of the loan based on an effective interest method. Debt issuance costs associated with the draw-down of tranche A and B were $0.7 million and less than $0.1 million, respectively.</w:t>
      </w:r>
    </w:p>
    <w:p>
      <w:pPr>
        <w:spacing w:after="0" w:line="51" w:lineRule="exact"/>
        <w:rPr>
          <w:sz w:val="20"/>
          <w:szCs w:val="20"/>
          <w:color w:val="auto"/>
        </w:rPr>
      </w:pPr>
    </w:p>
    <w:p>
      <w:pPr>
        <w:ind w:right="120" w:firstLine="749"/>
        <w:spacing w:after="0" w:line="324" w:lineRule="auto"/>
        <w:rPr>
          <w:sz w:val="20"/>
          <w:szCs w:val="20"/>
          <w:color w:val="auto"/>
        </w:rPr>
      </w:pPr>
      <w:r>
        <w:rPr>
          <w:rFonts w:ascii="Arial" w:cs="Arial" w:eastAsia="Arial" w:hAnsi="Arial"/>
          <w:sz w:val="16"/>
          <w:szCs w:val="16"/>
          <w:color w:val="auto"/>
        </w:rPr>
        <w:t>As of December 31, 2021, the Company recorded approximately $1,096.9 million as long-term debt on the consolidated balance sheets. For the years ended December 31, 2021, 2020 and 2019, the Company recorded $63.5 million, $59.9 million and $30.7 million of interest expense, respectively.</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debt facilities for the periods indicated:</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50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91"/>
        </w:trPr>
        <w:tc>
          <w:tcPr>
            <w:tcW w:w="5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Principal amount of the 2024 Notes</w:t>
            </w:r>
          </w:p>
        </w:tc>
        <w:tc>
          <w:tcPr>
            <w:tcW w:w="1080" w:type="dxa"/>
            <w:vAlign w:val="bottom"/>
            <w:shd w:val="clear" w:color="auto" w:fill="CFF0FC"/>
          </w:tcPr>
          <w:p>
            <w:pPr>
              <w:jc w:val="right"/>
              <w:ind w:right="89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569,993</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569,993</w:t>
            </w:r>
          </w:p>
        </w:tc>
        <w:tc>
          <w:tcPr>
            <w:tcW w:w="100" w:type="dxa"/>
            <w:vAlign w:val="bottom"/>
            <w:shd w:val="clear" w:color="auto" w:fill="CFF0FC"/>
          </w:tcPr>
          <w:p>
            <w:pPr>
              <w:spacing w:after="0"/>
              <w:rPr>
                <w:sz w:val="18"/>
                <w:szCs w:val="18"/>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Unamortized discount - equity component</w:t>
            </w:r>
          </w:p>
        </w:tc>
        <w:tc>
          <w:tcPr>
            <w:tcW w:w="108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(98,721 )</w:t>
            </w: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Unamortized discount - debt issuance costs</w:t>
            </w:r>
          </w:p>
        </w:tc>
        <w:tc>
          <w:tcPr>
            <w:tcW w:w="10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(6,320 )</w:t>
            </w:r>
          </w:p>
        </w:tc>
        <w:tc>
          <w:tcPr>
            <w:tcW w:w="6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(6,510 )</w:t>
            </w:r>
          </w:p>
        </w:tc>
      </w:tr>
      <w:tr>
        <w:trPr>
          <w:trHeight w:val="196"/>
        </w:trPr>
        <w:tc>
          <w:tcPr>
            <w:tcW w:w="5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carrying value of 2024 Notes</w:t>
            </w:r>
          </w:p>
        </w:tc>
        <w:tc>
          <w:tcPr>
            <w:tcW w:w="10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563,673</w:t>
            </w:r>
          </w:p>
        </w:tc>
        <w:tc>
          <w:tcPr>
            <w:tcW w:w="18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464,762</w:t>
            </w:r>
          </w:p>
        </w:tc>
        <w:tc>
          <w:tcPr>
            <w:tcW w:w="100" w:type="dxa"/>
            <w:vAlign w:val="bottom"/>
            <w:tcBorders>
              <w:top w:val="single" w:sz="8" w:color="CFF0FC"/>
            </w:tcBorders>
          </w:tcPr>
          <w:p>
            <w:pPr>
              <w:spacing w:after="0"/>
              <w:rPr>
                <w:sz w:val="17"/>
                <w:szCs w:val="17"/>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Principal amount of the 2019 Term Loan</w:t>
            </w:r>
          </w:p>
        </w:tc>
        <w:tc>
          <w:tcPr>
            <w:tcW w:w="10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550,000</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550,000</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Unamortized discounts</w:t>
            </w:r>
          </w:p>
        </w:tc>
        <w:tc>
          <w:tcPr>
            <w:tcW w:w="10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(16,797 )</w:t>
            </w:r>
          </w:p>
        </w:tc>
        <w:tc>
          <w:tcPr>
            <w:tcW w:w="62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(22,269 )</w:t>
            </w:r>
          </w:p>
        </w:tc>
      </w:tr>
      <w:tr>
        <w:trPr>
          <w:trHeight w:val="196"/>
        </w:trPr>
        <w:tc>
          <w:tcPr>
            <w:tcW w:w="5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carrying value of 2019 Term Loan</w:t>
            </w: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533,203</w:t>
            </w: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527,731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spacing w:after="0" w:line="182" w:lineRule="exact"/>
              <w:rPr>
                <w:sz w:val="20"/>
                <w:szCs w:val="20"/>
                <w:color w:val="auto"/>
              </w:rPr>
            </w:pPr>
            <w:r>
              <w:rPr>
                <w:rFonts w:ascii="Arial" w:cs="Arial" w:eastAsia="Arial" w:hAnsi="Arial"/>
                <w:sz w:val="18"/>
                <w:szCs w:val="18"/>
                <w:color w:val="auto"/>
              </w:rPr>
              <w:t>Total carrying value of debt facilities</w:t>
            </w:r>
          </w:p>
        </w:tc>
        <w:tc>
          <w:tcPr>
            <w:tcW w:w="1080" w:type="dxa"/>
            <w:vAlign w:val="bottom"/>
            <w:tcBorders>
              <w:bottom w:val="single" w:sz="8" w:color="auto"/>
            </w:tcBorders>
          </w:tcPr>
          <w:p>
            <w:pPr>
              <w:jc w:val="right"/>
              <w:ind w:right="894"/>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1,096,876</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992,493</w:t>
            </w:r>
          </w:p>
        </w:tc>
        <w:tc>
          <w:tcPr>
            <w:tcW w:w="10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0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Fair value of 2024 Notes</w:t>
            </w:r>
          </w:p>
        </w:tc>
        <w:tc>
          <w:tcPr>
            <w:tcW w:w="1080" w:type="dxa"/>
            <w:vAlign w:val="bottom"/>
          </w:tcPr>
          <w:p>
            <w:pPr>
              <w:jc w:val="right"/>
              <w:ind w:right="894"/>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846,138</w:t>
            </w:r>
          </w:p>
        </w:tc>
        <w:tc>
          <w:tcPr>
            <w:tcW w:w="180" w:type="dxa"/>
            <w:vAlign w:val="bottom"/>
          </w:tcPr>
          <w:p>
            <w:pPr>
              <w:spacing w:after="0"/>
              <w:rPr>
                <w:sz w:val="17"/>
                <w:szCs w:val="17"/>
                <w:color w:val="auto"/>
              </w:rPr>
            </w:pPr>
          </w:p>
        </w:tc>
        <w:tc>
          <w:tcPr>
            <w:tcW w:w="6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1,394,249</w:t>
            </w:r>
          </w:p>
        </w:tc>
        <w:tc>
          <w:tcPr>
            <w:tcW w:w="100" w:type="dxa"/>
            <w:vAlign w:val="bottom"/>
          </w:tcPr>
          <w:p>
            <w:pPr>
              <w:spacing w:after="0"/>
              <w:rPr>
                <w:sz w:val="17"/>
                <w:szCs w:val="17"/>
                <w:color w:val="auto"/>
              </w:rPr>
            </w:pPr>
          </w:p>
        </w:tc>
      </w:tr>
      <w:tr>
        <w:trPr>
          <w:trHeight w:val="203"/>
        </w:trPr>
        <w:tc>
          <w:tcPr>
            <w:tcW w:w="50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Fair value of 2019 Term Loan</w:t>
            </w: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576,085</w:t>
            </w: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spacing w:after="0" w:line="182" w:lineRule="exact"/>
              <w:rPr>
                <w:sz w:val="20"/>
                <w:szCs w:val="20"/>
                <w:color w:val="auto"/>
              </w:rPr>
            </w:pPr>
            <w:r>
              <w:rPr>
                <w:rFonts w:ascii="Arial" w:cs="Arial" w:eastAsia="Arial" w:hAnsi="Arial"/>
                <w:sz w:val="18"/>
                <w:szCs w:val="18"/>
                <w:color w:val="auto"/>
              </w:rPr>
              <w:t>Total fair value of debt facilities</w:t>
            </w:r>
          </w:p>
        </w:tc>
        <w:tc>
          <w:tcPr>
            <w:tcW w:w="1080" w:type="dxa"/>
            <w:vAlign w:val="bottom"/>
            <w:tcBorders>
              <w:bottom w:val="single" w:sz="8" w:color="auto"/>
            </w:tcBorders>
          </w:tcPr>
          <w:p>
            <w:pPr>
              <w:jc w:val="right"/>
              <w:ind w:right="894"/>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1,422,223</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1,944,249</w:t>
            </w:r>
          </w:p>
        </w:tc>
        <w:tc>
          <w:tcPr>
            <w:tcW w:w="10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-1239520</wp:posOffset>
            </wp:positionV>
            <wp:extent cx="5969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-1239520</wp:posOffset>
            </wp:positionV>
            <wp:extent cx="5969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-708025</wp:posOffset>
            </wp:positionV>
            <wp:extent cx="5969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-708025</wp:posOffset>
            </wp:positionV>
            <wp:extent cx="5969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-159385</wp:posOffset>
            </wp:positionV>
            <wp:extent cx="5969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03" w:lineRule="exact"/>
        <w:rPr>
          <w:sz w:val="20"/>
          <w:szCs w:val="20"/>
          <w:color w:val="auto"/>
        </w:rPr>
      </w:pPr>
    </w:p>
    <w:p>
      <w:pPr>
        <w:ind w:right="100" w:firstLine="749"/>
        <w:spacing w:after="0" w:line="235" w:lineRule="auto"/>
        <w:rPr>
          <w:sz w:val="20"/>
          <w:szCs w:val="20"/>
          <w:color w:val="auto"/>
        </w:rPr>
      </w:pPr>
      <w:r>
        <w:rPr>
          <w:rFonts w:ascii="Arial" w:cs="Arial" w:eastAsia="Arial" w:hAnsi="Arial"/>
          <w:sz w:val="18"/>
          <w:szCs w:val="18"/>
          <w:color w:val="auto"/>
        </w:rPr>
        <w:t>The fair value of the 2024 Notes is based on open market trades and is classified as Level 1 in the fair value hierarchy. The fair value of the December 2019 Term Loan is classified as Level 2 in the fair value hierarchy and is determined using a discounted cash flow analysis with market interest rates adjusted for credit risk as a significant input.</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total gross payments due under the Company’s debt arrangements:</w:t>
      </w:r>
    </w:p>
    <w:p>
      <w:pPr>
        <w:spacing w:after="0" w:line="25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195"/>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r>
      <w:tr>
        <w:trPr>
          <w:trHeight w:val="185"/>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December 31, 2021</w:t>
            </w:r>
          </w:p>
        </w:tc>
        <w:tc>
          <w:tcPr>
            <w:tcW w:w="6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r>
      <w:tr>
        <w:trPr>
          <w:trHeight w:val="203"/>
        </w:trPr>
        <w:tc>
          <w:tcPr>
            <w:tcW w:w="4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60" w:type="dxa"/>
            <w:vAlign w:val="bottom"/>
          </w:tcPr>
          <w:p>
            <w:pPr>
              <w:spacing w:after="0"/>
              <w:rPr>
                <w:sz w:val="17"/>
                <w:szCs w:val="17"/>
                <w:color w:val="auto"/>
              </w:rPr>
            </w:pPr>
          </w:p>
        </w:tc>
      </w:tr>
      <w:tr>
        <w:trPr>
          <w:trHeight w:val="203"/>
        </w:trPr>
        <w:tc>
          <w:tcPr>
            <w:tcW w:w="4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869,993</w:t>
            </w:r>
          </w:p>
        </w:tc>
        <w:tc>
          <w:tcPr>
            <w:tcW w:w="6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7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payments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1,119,993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4"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color w:val="auto"/>
        </w:rPr>
        <w:t>The aggregate annual maturities of long-term debt and interest during the years ending December 31, 2022, 2023 and 2024 are $55.9 million, $305.3 million and $903.4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w:t>
      </w:r>
    </w:p>
    <w:p>
      <w:pPr>
        <w:spacing w:after="0" w:line="108"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In October 2021, the Company issued approximately 7.1 million shares of common stock through an underwritten public offering. The offering price was $81.00 per share. The Company received net proceeds of approximately $548.5 million from the offering, net of commission and offering expenses of approximately $26.5 million.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0" w:name="page121"/>
    <w:bookmarkEnd w:id="120"/>
    <w:p>
      <w:pPr>
        <w:ind w:right="500" w:firstLine="749"/>
        <w:spacing w:after="0" w:line="261" w:lineRule="auto"/>
        <w:rPr>
          <w:sz w:val="20"/>
          <w:szCs w:val="20"/>
          <w:color w:val="auto"/>
        </w:rPr>
      </w:pPr>
      <w:r>
        <w:rPr>
          <w:rFonts w:ascii="Arial" w:cs="Arial" w:eastAsia="Arial" w:hAnsi="Arial"/>
          <w:sz w:val="18"/>
          <w:szCs w:val="18"/>
          <w:color w:val="auto"/>
        </w:rPr>
        <w:t xml:space="preserve">In February 2020, the Company issued approximately 2.5 million shares of common stock with a fair value of $312.1 million, net of direct transaction fees of $4.3 million as part of the Roche transaction (see </w:t>
      </w:r>
      <w:r>
        <w:rPr>
          <w:rFonts w:ascii="Arial" w:cs="Arial" w:eastAsia="Arial" w:hAnsi="Arial"/>
          <w:sz w:val="18"/>
          <w:szCs w:val="18"/>
          <w:i w:val="1"/>
          <w:iCs w:val="1"/>
          <w:color w:val="auto"/>
        </w:rPr>
        <w:t>Note 3, License and Collaboration Agreements</w:t>
      </w:r>
      <w:r>
        <w:rPr>
          <w:rFonts w:ascii="Arial" w:cs="Arial" w:eastAsia="Arial" w:hAnsi="Arial"/>
          <w:sz w:val="18"/>
          <w:szCs w:val="18"/>
          <w:color w:val="auto"/>
        </w:rPr>
        <w:t>).</w:t>
      </w:r>
    </w:p>
    <w:p>
      <w:pPr>
        <w:spacing w:after="0" w:line="63"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 xml:space="preserve">In November 2019, the Company issued approximately 0.3 million shares of common stock with a fair value of $29.4 million as part of the up-front consideration to StrideBio (see </w:t>
      </w:r>
      <w:r>
        <w:rPr>
          <w:rFonts w:ascii="Arial" w:cs="Arial" w:eastAsia="Arial" w:hAnsi="Arial"/>
          <w:sz w:val="18"/>
          <w:szCs w:val="18"/>
          <w:i w:val="1"/>
          <w:iCs w:val="1"/>
          <w:color w:val="auto"/>
        </w:rPr>
        <w:t>Note 3, License and Collaboration Agreements</w:t>
      </w:r>
      <w:r>
        <w:rPr>
          <w:rFonts w:ascii="Arial" w:cs="Arial" w:eastAsia="Arial" w:hAnsi="Arial"/>
          <w:sz w:val="18"/>
          <w:szCs w:val="18"/>
          <w:color w:val="auto"/>
        </w:rPr>
        <w:t>).</w:t>
      </w:r>
    </w:p>
    <w:p>
      <w:pPr>
        <w:spacing w:after="0" w:line="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March 2019, the Company sold approximately 2.6 million shares of common stock through an underwritten public offering. The offering price was $140.41 per share. The Company received net proceeds of approximately $365.4 million from the offering, net of commission and offering expenses of approximately $0.3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02" w:lineRule="exact"/>
        <w:rPr>
          <w:sz w:val="20"/>
          <w:szCs w:val="20"/>
          <w:color w:val="auto"/>
        </w:rPr>
      </w:pPr>
    </w:p>
    <w:p>
      <w:pPr>
        <w:ind w:right="180" w:firstLine="749"/>
        <w:spacing w:after="0" w:line="231" w:lineRule="auto"/>
        <w:rPr>
          <w:sz w:val="20"/>
          <w:szCs w:val="20"/>
          <w:color w:val="auto"/>
        </w:rPr>
      </w:pPr>
      <w:r>
        <w:rPr>
          <w:rFonts w:ascii="Arial" w:cs="Arial" w:eastAsia="Arial" w:hAnsi="Arial"/>
          <w:sz w:val="18"/>
          <w:szCs w:val="18"/>
          <w:color w:val="auto"/>
        </w:rPr>
        <w:t>In June 2013, the Company’s stockholders approved the 2013 Employee Stock Purchase Plan (the “2013 ESPP”) which authorized 0.3 million shares of common stock available to be issued. In June 2016 and 2019, the Company’s stockholders approved an additional 0.3 million and 0.5 million shares, respectively, of common stock available for issuance under the 2013 ESPP. As of December 31, 2021, 0.4 million shares of common stock remain available for future grant under the 2013 ESPP.</w:t>
      </w:r>
    </w:p>
    <w:p>
      <w:pPr>
        <w:spacing w:after="0" w:line="175" w:lineRule="exact"/>
        <w:rPr>
          <w:sz w:val="20"/>
          <w:szCs w:val="20"/>
          <w:color w:val="auto"/>
        </w:rPr>
      </w:pPr>
    </w:p>
    <w:p>
      <w:pPr>
        <w:ind w:right="480" w:firstLine="749"/>
        <w:spacing w:after="0" w:line="231" w:lineRule="auto"/>
        <w:rPr>
          <w:sz w:val="20"/>
          <w:szCs w:val="20"/>
          <w:color w:val="auto"/>
        </w:rPr>
      </w:pPr>
      <w:r>
        <w:rPr>
          <w:rFonts w:ascii="Arial" w:cs="Arial" w:eastAsia="Arial" w:hAnsi="Arial"/>
          <w:sz w:val="18"/>
          <w:szCs w:val="18"/>
          <w:color w:val="auto"/>
        </w:rPr>
        <w:t>In September 2014, the Company initiated the 2014 Employment Commencement Incentive Plan (the “2014 Plan”). The 2014 Plan, which authorized 0.6 million shares of common stock to be issued and allows for the grant of stock options, SARs, RSAs, RSUs, performance shares and performance units. As of December 31, 2021, 7.0 million shares have been added to the Company's 2014 Plan. As of December 31, 2021, 1.5 million shares of common stock remain available for future grant under the 2014 Plan.</w:t>
      </w:r>
    </w:p>
    <w:p>
      <w:pPr>
        <w:spacing w:after="0" w:line="175" w:lineRule="exact"/>
        <w:rPr>
          <w:sz w:val="20"/>
          <w:szCs w:val="20"/>
          <w:color w:val="auto"/>
        </w:rPr>
      </w:pPr>
    </w:p>
    <w:p>
      <w:pPr>
        <w:ind w:right="40" w:firstLine="749"/>
        <w:spacing w:after="0" w:line="228" w:lineRule="auto"/>
        <w:rPr>
          <w:sz w:val="20"/>
          <w:szCs w:val="20"/>
          <w:color w:val="auto"/>
        </w:rPr>
      </w:pPr>
      <w:r>
        <w:rPr>
          <w:rFonts w:ascii="Arial" w:cs="Arial" w:eastAsia="Arial" w:hAnsi="Arial"/>
          <w:sz w:val="18"/>
          <w:szCs w:val="18"/>
          <w:color w:val="auto"/>
        </w:rPr>
        <w:t>In June 2018, the Company’s stockholders approved the 2018 Equity Incentive Plan (the “2018 Plan”). The 2018 Plan, which authorized 2.9 million shares of common stock to be issued, allows for the grant of stock options, SARs, RSAs, RSUs, performance shares and performance units. In June 2020, an additional 3.8 million shares of common stock were approved by the Company’s stockholders and added to the 2018 Plan. Together with the roll-over shares from the Company’s 2011 Equity Incentive Plan, 4.2 million shares of common stock remain available for future grant under the 2018 Plan as of December 31, 2021.</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280" w:firstLine="749"/>
        <w:spacing w:after="0" w:line="235" w:lineRule="auto"/>
        <w:rPr>
          <w:sz w:val="20"/>
          <w:szCs w:val="20"/>
          <w:color w:val="auto"/>
        </w:rPr>
      </w:pPr>
      <w:r>
        <w:rPr>
          <w:rFonts w:ascii="Arial" w:cs="Arial" w:eastAsia="Arial" w:hAnsi="Arial"/>
          <w:sz w:val="18"/>
          <w:szCs w:val="18"/>
          <w:color w:val="auto"/>
        </w:rPr>
        <w:t>In general, stock options have a ten-year term and vest over a four-year period, with one-fourth of the underlying shares vesting on the first anniversary of the grant and 1/48th of the underlying shares vesting monthly thereafter, such that the underlying shares will be fully vested on the fourth anniversary of the grant, subject to the terms of the applicable plan under which they were granted.</w:t>
      </w:r>
    </w:p>
    <w:p>
      <w:pPr>
        <w:spacing w:after="0" w:line="175"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The fair values of stock options granted during the periods presented are measured on the date of grant using the Black-Scholes-Merton option-pricing model, with the following assumptions: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68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384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12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2019</w:t>
            </w:r>
          </w:p>
        </w:tc>
      </w:tr>
      <w:tr>
        <w:trPr>
          <w:trHeight w:val="196"/>
        </w:trPr>
        <w:tc>
          <w:tcPr>
            <w:tcW w:w="3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 (1)</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0.4 - 1.3%</w:t>
            </w: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0.1 - 1.3%</w:t>
            </w:r>
          </w:p>
        </w:tc>
        <w:tc>
          <w:tcPr>
            <w:tcW w:w="1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1.4 - 2.5%</w:t>
            </w:r>
          </w:p>
        </w:tc>
      </w:tr>
      <w:tr>
        <w:trPr>
          <w:trHeight w:val="202"/>
        </w:trPr>
        <w:tc>
          <w:tcPr>
            <w:tcW w:w="3840" w:type="dxa"/>
            <w:vAlign w:val="bottom"/>
          </w:tcPr>
          <w:p>
            <w:pPr>
              <w:spacing w:after="0" w:line="202" w:lineRule="exact"/>
              <w:rPr>
                <w:sz w:val="20"/>
                <w:szCs w:val="20"/>
                <w:color w:val="auto"/>
              </w:rPr>
            </w:pPr>
            <w:r>
              <w:rPr>
                <w:rFonts w:ascii="Arial" w:cs="Arial" w:eastAsia="Arial" w:hAnsi="Arial"/>
                <w:sz w:val="18"/>
                <w:szCs w:val="18"/>
                <w:color w:val="auto"/>
              </w:rPr>
              <w:t>Expected dividend yield (2)</w:t>
            </w:r>
          </w:p>
        </w:tc>
        <w:tc>
          <w:tcPr>
            <w:tcW w:w="11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(3)</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 years</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 years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 years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Expected volatility (4)</w:t>
            </w:r>
          </w:p>
        </w:tc>
        <w:tc>
          <w:tcPr>
            <w:tcW w:w="1140" w:type="dxa"/>
            <w:vAlign w:val="bottom"/>
          </w:tcPr>
          <w:p>
            <w:pPr>
              <w:jc w:val="right"/>
              <w:spacing w:after="0"/>
              <w:rPr>
                <w:sz w:val="20"/>
                <w:szCs w:val="20"/>
                <w:color w:val="auto"/>
              </w:rPr>
            </w:pPr>
            <w:r>
              <w:rPr>
                <w:rFonts w:ascii="Arial" w:cs="Arial" w:eastAsia="Arial" w:hAnsi="Arial"/>
                <w:sz w:val="18"/>
                <w:szCs w:val="18"/>
                <w:color w:val="auto"/>
              </w:rPr>
              <w:t>60.1 - 70.8%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57.3 - 68.2%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52.5 - 68.9%</w:t>
            </w:r>
          </w:p>
        </w:tc>
      </w:tr>
    </w:tbl>
    <w:p>
      <w:pPr>
        <w:spacing w:after="0" w:line="174" w:lineRule="exact"/>
        <w:rPr>
          <w:sz w:val="20"/>
          <w:szCs w:val="20"/>
          <w:color w:val="auto"/>
        </w:rPr>
      </w:pPr>
    </w:p>
    <w:p>
      <w:pPr>
        <w:ind w:left="520" w:right="140" w:hanging="512"/>
        <w:spacing w:after="0" w:line="228"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risk-free interest rate is estimated using an average of Treasury bill interest rates over a historical period commensurate with the expected term of the option that correlates to the prevailing interest rates at the time of grant.</w:t>
      </w:r>
    </w:p>
    <w:p>
      <w:pPr>
        <w:ind w:left="520" w:hanging="512"/>
        <w:spacing w:after="0" w:line="232"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expected dividend yield is zero as the Company has not paid any dividends to date and does not expect to pay dividends in the future.</w:t>
      </w:r>
    </w:p>
    <w:p>
      <w:pPr>
        <w:ind w:left="520" w:hanging="512"/>
        <w:spacing w:after="0" w:line="219"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expected term is estimated using historical exercise behavior.</w:t>
      </w: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expected volatility is the implied volatility in exchange-traded options of the Company’s common stock.</w:t>
      </w:r>
    </w:p>
    <w:p>
      <w:pPr>
        <w:spacing w:after="0" w:line="196"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The amounts estimated according to the Black-Scholes-Merton option-pricing model may not be indicative of the actual values realized upon the exercise of these options by the 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1" w:name="page122"/>
    <w:bookmarkEnd w:id="121"/>
    <w:p>
      <w:pPr>
        <w:ind w:left="760"/>
        <w:spacing w:after="0"/>
        <w:rPr>
          <w:sz w:val="20"/>
          <w:szCs w:val="20"/>
          <w:color w:val="auto"/>
        </w:rPr>
      </w:pPr>
      <w:r>
        <w:rPr>
          <w:rFonts w:ascii="Arial" w:cs="Arial" w:eastAsia="Arial" w:hAnsi="Arial"/>
          <w:sz w:val="18"/>
          <w:szCs w:val="18"/>
          <w:color w:val="auto"/>
        </w:rPr>
        <w:t>The following tables summarize the Company’s stock option activity for each of the periods indicated:</w:t>
      </w:r>
    </w:p>
    <w:p>
      <w:pPr>
        <w:spacing w:after="0" w:line="271"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For the Year Ended December 31,</w:t>
            </w: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left="539"/>
              <w:spacing w:after="0" w:line="160" w:lineRule="exact"/>
              <w:rPr>
                <w:sz w:val="20"/>
                <w:szCs w:val="20"/>
                <w:color w:val="auto"/>
              </w:rPr>
            </w:pPr>
            <w:r>
              <w:rPr>
                <w:rFonts w:ascii="Arial" w:cs="Arial" w:eastAsia="Arial" w:hAnsi="Arial"/>
                <w:sz w:val="14"/>
                <w:szCs w:val="14"/>
                <w:b w:val="1"/>
                <w:bCs w:val="1"/>
                <w:color w:val="auto"/>
                <w:w w:val="95"/>
              </w:rPr>
              <w:t>Weighted</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left="559"/>
              <w:spacing w:after="0"/>
              <w:rPr>
                <w:sz w:val="20"/>
                <w:szCs w:val="20"/>
                <w:color w:val="auto"/>
              </w:rPr>
            </w:pPr>
            <w:r>
              <w:rPr>
                <w:rFonts w:ascii="Arial" w:cs="Arial" w:eastAsia="Arial" w:hAnsi="Arial"/>
                <w:sz w:val="14"/>
                <w:szCs w:val="14"/>
                <w:b w:val="1"/>
                <w:bCs w:val="1"/>
                <w:color w:val="auto"/>
                <w:w w:val="90"/>
              </w:rPr>
              <w:t>Average</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left="539"/>
              <w:spacing w:after="0"/>
              <w:rPr>
                <w:sz w:val="20"/>
                <w:szCs w:val="20"/>
                <w:color w:val="auto"/>
              </w:rPr>
            </w:pPr>
            <w:r>
              <w:rPr>
                <w:rFonts w:ascii="Arial" w:cs="Arial" w:eastAsia="Arial" w:hAnsi="Arial"/>
                <w:sz w:val="14"/>
                <w:szCs w:val="14"/>
                <w:b w:val="1"/>
                <w:bCs w:val="1"/>
                <w:color w:val="auto"/>
                <w:w w:val="90"/>
              </w:rPr>
              <w:t>Exercise</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bottom w:val="single" w:sz="8" w:color="auto"/>
            </w:tcBorders>
          </w:tcPr>
          <w:p>
            <w:pPr>
              <w:jc w:val="center"/>
              <w:ind w:left="539"/>
              <w:spacing w:after="0"/>
              <w:rPr>
                <w:sz w:val="20"/>
                <w:szCs w:val="20"/>
                <w:color w:val="auto"/>
              </w:rPr>
            </w:pPr>
            <w:r>
              <w:rPr>
                <w:rFonts w:ascii="Arial" w:cs="Arial" w:eastAsia="Arial" w:hAnsi="Arial"/>
                <w:sz w:val="14"/>
                <w:szCs w:val="14"/>
                <w:b w:val="1"/>
                <w:bCs w:val="1"/>
                <w:color w:val="auto"/>
                <w:w w:val="93"/>
              </w:rPr>
              <w:t>Price</w:t>
            </w: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7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Grants outstanding at beginning of</w:t>
            </w:r>
          </w:p>
        </w:tc>
        <w:tc>
          <w:tcPr>
            <w:tcW w:w="126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7,844,947</w:t>
            </w:r>
          </w:p>
        </w:tc>
        <w:tc>
          <w:tcPr>
            <w:tcW w:w="280" w:type="dxa"/>
            <w:vAlign w:val="bottom"/>
            <w:shd w:val="clear" w:color="auto" w:fill="CFF0FC"/>
          </w:tcPr>
          <w:p>
            <w:pPr>
              <w:spacing w:after="0"/>
              <w:rPr>
                <w:sz w:val="13"/>
                <w:szCs w:val="13"/>
                <w:color w:val="auto"/>
              </w:rPr>
            </w:pPr>
          </w:p>
        </w:tc>
        <w:tc>
          <w:tcPr>
            <w:tcW w:w="1420" w:type="dxa"/>
            <w:vAlign w:val="bottom"/>
            <w:vMerge w:val="restart"/>
            <w:shd w:val="clear" w:color="auto" w:fill="CFF0FC"/>
          </w:tcPr>
          <w:p>
            <w:pPr>
              <w:jc w:val="right"/>
              <w:ind w:right="1219"/>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the period</w:t>
            </w:r>
          </w:p>
        </w:tc>
        <w:tc>
          <w:tcPr>
            <w:tcW w:w="8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1,685,860</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(283,622 )</w:t>
            </w:r>
          </w:p>
        </w:tc>
        <w:tc>
          <w:tcPr>
            <w:tcW w:w="14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45.71</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Cancelled and forfeited</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88"/>
              </w:rPr>
              <w:t>(1,050,264 )</w:t>
            </w:r>
          </w:p>
        </w:tc>
        <w:tc>
          <w:tcPr>
            <w:tcW w:w="14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112.18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Grants outstanding at end of the period</w:t>
            </w:r>
          </w:p>
        </w:tc>
        <w:tc>
          <w:tcPr>
            <w:tcW w:w="12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8,196,921</w:t>
            </w:r>
          </w:p>
        </w:tc>
        <w:tc>
          <w:tcPr>
            <w:tcW w:w="2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219"/>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69.39</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Grants exercisable at end of the period</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2,532,438</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219"/>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84.71</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Grants vested and expected to vest at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7"/>
              </w:rPr>
              <w:t>7,867,722</w:t>
            </w:r>
          </w:p>
        </w:tc>
        <w:tc>
          <w:tcPr>
            <w:tcW w:w="280" w:type="dxa"/>
            <w:vAlign w:val="bottom"/>
          </w:tcPr>
          <w:p>
            <w:pPr>
              <w:spacing w:after="0"/>
              <w:rPr>
                <w:sz w:val="14"/>
                <w:szCs w:val="14"/>
                <w:color w:val="auto"/>
              </w:rPr>
            </w:pPr>
          </w:p>
        </w:tc>
        <w:tc>
          <w:tcPr>
            <w:tcW w:w="1420" w:type="dxa"/>
            <w:vAlign w:val="bottom"/>
            <w:vMerge w:val="restart"/>
          </w:tcPr>
          <w:p>
            <w:pPr>
              <w:jc w:val="right"/>
              <w:ind w:right="1219"/>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68.17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end of the period</w:t>
            </w:r>
          </w:p>
        </w:tc>
        <w:tc>
          <w:tcPr>
            <w:tcW w:w="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-531495</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-514350</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3" w:lineRule="exact"/>
        <w:rPr>
          <w:sz w:val="20"/>
          <w:szCs w:val="20"/>
          <w:color w:val="auto"/>
        </w:rPr>
      </w:pPr>
    </w:p>
    <w:p>
      <w:pPr>
        <w:ind w:right="300" w:firstLine="749"/>
        <w:spacing w:after="0" w:line="235" w:lineRule="auto"/>
        <w:rPr>
          <w:sz w:val="20"/>
          <w:szCs w:val="20"/>
          <w:color w:val="auto"/>
        </w:rPr>
      </w:pPr>
      <w:r>
        <w:rPr>
          <w:rFonts w:ascii="Arial" w:cs="Arial" w:eastAsia="Arial" w:hAnsi="Arial"/>
          <w:sz w:val="18"/>
          <w:szCs w:val="18"/>
          <w:color w:val="auto"/>
        </w:rPr>
        <w:t>The weighted-average grant date fair value per share of stock options granted during the years ended December 31, 2021, 2020 and 2019 was $48.16, $61.38 and $70.93, respectively.</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0" w:type="dxa"/>
            <w:vAlign w:val="bottom"/>
          </w:tcPr>
          <w:p>
            <w:pPr>
              <w:spacing w:after="0"/>
              <w:rPr>
                <w:sz w:val="15"/>
                <w:szCs w:val="15"/>
                <w:color w:val="auto"/>
              </w:rPr>
            </w:pPr>
          </w:p>
        </w:tc>
      </w:tr>
      <w:tr>
        <w:trPr>
          <w:trHeight w:val="176"/>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4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4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Intrinsic</w:t>
            </w:r>
          </w:p>
        </w:tc>
        <w:tc>
          <w:tcPr>
            <w:tcW w:w="4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5"/>
                <w:szCs w:val="15"/>
                <w:color w:val="auto"/>
              </w:rPr>
            </w:pPr>
          </w:p>
        </w:tc>
      </w:tr>
      <w:tr>
        <w:trPr>
          <w:trHeight w:val="176"/>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40" w:type="dxa"/>
            <w:vAlign w:val="bottom"/>
          </w:tcPr>
          <w:p>
            <w:pPr>
              <w:spacing w:after="0"/>
              <w:rPr>
                <w:sz w:val="15"/>
                <w:szCs w:val="15"/>
                <w:color w:val="auto"/>
              </w:rPr>
            </w:pPr>
          </w:p>
        </w:tc>
      </w:tr>
      <w:tr>
        <w:trPr>
          <w:trHeight w:val="185"/>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40" w:type="dxa"/>
            <w:vAlign w:val="bottom"/>
          </w:tcPr>
          <w:p>
            <w:pPr>
              <w:spacing w:after="0"/>
              <w:rPr>
                <w:sz w:val="16"/>
                <w:szCs w:val="16"/>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outstanding at December 31, 2021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248,479</w:t>
            </w:r>
          </w:p>
        </w:tc>
        <w:tc>
          <w:tcPr>
            <w:tcW w:w="46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4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Options exercisable at December 31, 2021</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59,069</w:t>
            </w:r>
          </w:p>
        </w:tc>
        <w:tc>
          <w:tcPr>
            <w:tcW w:w="2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c>
          <w:tcPr>
            <w:tcW w:w="4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vested and expected to vest at December 31, 2021</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247,434</w:t>
            </w:r>
          </w:p>
        </w:tc>
        <w:tc>
          <w:tcPr>
            <w:tcW w:w="2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4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stock options vested and exercised for each of the periods indicated:</w:t>
      </w:r>
    </w:p>
    <w:p>
      <w:pPr>
        <w:spacing w:after="0" w:line="203" w:lineRule="exact"/>
        <w:rPr>
          <w:sz w:val="20"/>
          <w:szCs w:val="20"/>
          <w:color w:val="auto"/>
        </w:rPr>
      </w:pPr>
    </w:p>
    <w:tbl>
      <w:tblPr>
        <w:tblLayout w:type="fixed"/>
        <w:tblInd w:w="68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For the 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319"/>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Aggregate grant date fair value of stock options</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79,068</w:t>
            </w:r>
          </w:p>
        </w:tc>
        <w:tc>
          <w:tcPr>
            <w:tcW w:w="5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80,355</w:t>
            </w:r>
          </w:p>
        </w:tc>
        <w:tc>
          <w:tcPr>
            <w:tcW w:w="20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50,878</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vested</w:t>
            </w:r>
          </w:p>
        </w:tc>
        <w:tc>
          <w:tcPr>
            <w:tcW w:w="340" w:type="dxa"/>
            <w:vAlign w:val="bottom"/>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Arial" w:cs="Arial" w:eastAsia="Arial" w:hAnsi="Arial"/>
                <w:sz w:val="18"/>
                <w:szCs w:val="18"/>
                <w:color w:val="auto"/>
              </w:rPr>
              <w:t>Aggregate intrinsic value of stock options</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10,622</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144,750</w:t>
            </w:r>
          </w:p>
        </w:tc>
        <w:tc>
          <w:tcPr>
            <w:tcW w:w="200" w:type="dxa"/>
            <w:vAlign w:val="bottom"/>
          </w:tcPr>
          <w:p>
            <w:pPr>
              <w:spacing w:after="0"/>
              <w:rPr>
                <w:sz w:val="14"/>
                <w:szCs w:val="14"/>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109,707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3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December 31, 2021, there were 3,300,000 options with service and market conditions included in the grants outstanding for the Company’s CEO, which have a five-year cliff vesting schedule and a grant date fair value of $13.48 determined by a lattice model with Monte Carlo simulations. These options have an exercise price of $34.65 and were granted in June 2017.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ind w:left="7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77" w:lineRule="exact"/>
        <w:rPr>
          <w:sz w:val="20"/>
          <w:szCs w:val="20"/>
          <w:color w:val="auto"/>
        </w:rPr>
      </w:pPr>
    </w:p>
    <w:p>
      <w:pPr>
        <w:ind w:right="300" w:firstLine="749"/>
        <w:spacing w:after="0" w:line="235" w:lineRule="auto"/>
        <w:rPr>
          <w:sz w:val="20"/>
          <w:szCs w:val="20"/>
          <w:color w:val="auto"/>
        </w:rPr>
      </w:pPr>
      <w:r>
        <w:rPr>
          <w:rFonts w:ascii="Arial" w:cs="Arial" w:eastAsia="Arial" w:hAnsi="Arial"/>
          <w:sz w:val="18"/>
          <w:szCs w:val="18"/>
          <w:color w:val="auto"/>
        </w:rPr>
        <w:t>The Company has granted RSAs to members of its board of directors and certain employees. The following table summarizes the Company’s RSA activity for each of the periods indicated:</w:t>
      </w:r>
    </w:p>
    <w:p>
      <w:pPr>
        <w:spacing w:after="0" w:line="234" w:lineRule="exact"/>
        <w:rPr>
          <w:sz w:val="20"/>
          <w:szCs w:val="20"/>
          <w:color w:val="auto"/>
        </w:rPr>
      </w:pPr>
    </w:p>
    <w:tbl>
      <w:tblPr>
        <w:tblLayout w:type="fixed"/>
        <w:tblInd w:w="120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3800" w:type="dxa"/>
            <w:vAlign w:val="bottom"/>
            <w:tcBorders>
              <w:bottom w:val="single" w:sz="8" w:color="auto"/>
            </w:tcBorders>
            <w:gridSpan w:val="5"/>
          </w:tcPr>
          <w:p>
            <w:pPr>
              <w:jc w:val="center"/>
              <w:ind w:left="448"/>
              <w:spacing w:after="0"/>
              <w:rPr>
                <w:sz w:val="20"/>
                <w:szCs w:val="20"/>
                <w:color w:val="auto"/>
              </w:rPr>
            </w:pPr>
            <w:r>
              <w:rPr>
                <w:rFonts w:ascii="Arial" w:cs="Arial" w:eastAsia="Arial" w:hAnsi="Arial"/>
                <w:sz w:val="14"/>
                <w:szCs w:val="14"/>
                <w:b w:val="1"/>
                <w:bCs w:val="1"/>
                <w:color w:val="auto"/>
                <w:w w:val="93"/>
              </w:rPr>
              <w:t>For the Year Ended December 31,</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left="468"/>
              <w:spacing w:after="0" w:line="160" w:lineRule="exact"/>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left="468"/>
              <w:spacing w:after="0"/>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left="468"/>
              <w:spacing w:after="0"/>
              <w:rPr>
                <w:sz w:val="20"/>
                <w:szCs w:val="20"/>
                <w:color w:val="auto"/>
              </w:rPr>
            </w:pPr>
            <w:r>
              <w:rPr>
                <w:rFonts w:ascii="Arial" w:cs="Arial" w:eastAsia="Arial" w:hAnsi="Arial"/>
                <w:sz w:val="14"/>
                <w:szCs w:val="14"/>
                <w:b w:val="1"/>
                <w:bCs w:val="1"/>
                <w:color w:val="auto"/>
                <w:w w:val="97"/>
              </w:rPr>
              <w:t>Grant Date</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60" w:type="dxa"/>
            <w:vAlign w:val="bottom"/>
          </w:tcPr>
          <w:p>
            <w:pPr>
              <w:spacing w:after="0"/>
              <w:rPr>
                <w:sz w:val="16"/>
                <w:szCs w:val="16"/>
                <w:color w:val="auto"/>
              </w:rPr>
            </w:pP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5"/>
              </w:rPr>
              <w:t>Fair Value</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Grants outstanding at beginning of the</w:t>
            </w:r>
          </w:p>
        </w:tc>
        <w:tc>
          <w:tcPr>
            <w:tcW w:w="132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48,875</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vMerge w:val="restart"/>
            <w:shd w:val="clear" w:color="auto" w:fill="CFF0FC"/>
          </w:tcPr>
          <w:p>
            <w:pPr>
              <w:jc w:val="right"/>
              <w:ind w:right="1328"/>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7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(48,875 )</w:t>
            </w:r>
          </w:p>
        </w:tc>
        <w:tc>
          <w:tcPr>
            <w:tcW w:w="200" w:type="dxa"/>
            <w:vAlign w:val="bottom"/>
            <w:shd w:val="clear" w:color="auto" w:fill="CFF0FC"/>
          </w:tcPr>
          <w:p>
            <w:pPr>
              <w:spacing w:after="0"/>
              <w:rPr>
                <w:sz w:val="17"/>
                <w:szCs w:val="17"/>
                <w:color w:val="auto"/>
              </w:rPr>
            </w:pPr>
          </w:p>
        </w:tc>
        <w:tc>
          <w:tcPr>
            <w:tcW w:w="1480" w:type="dxa"/>
            <w:vAlign w:val="bottom"/>
            <w:shd w:val="clear" w:color="auto" w:fill="CCECFC"/>
          </w:tcPr>
          <w:p>
            <w:pPr>
              <w:spacing w:after="0"/>
              <w:rPr>
                <w:sz w:val="17"/>
                <w:szCs w:val="17"/>
                <w:color w:val="auto"/>
              </w:rPr>
            </w:pPr>
          </w:p>
        </w:tc>
        <w:tc>
          <w:tcPr>
            <w:tcW w:w="560" w:type="dxa"/>
            <w:vAlign w:val="bottom"/>
            <w:shd w:val="clear" w:color="auto" w:fill="CCECFC"/>
          </w:tcPr>
          <w:p>
            <w:pPr>
              <w:jc w:val="right"/>
              <w:spacing w:after="0" w:line="202" w:lineRule="exact"/>
              <w:rPr>
                <w:sz w:val="20"/>
                <w:szCs w:val="20"/>
                <w:color w:val="auto"/>
              </w:rPr>
            </w:pPr>
            <w:r>
              <w:rPr>
                <w:rFonts w:ascii="Arial" w:cs="Arial" w:eastAsia="Arial" w:hAnsi="Arial"/>
                <w:sz w:val="18"/>
                <w:szCs w:val="18"/>
                <w:color w:val="auto"/>
              </w:rPr>
              <w:t>50.11</w:t>
            </w:r>
          </w:p>
        </w:tc>
        <w:tc>
          <w:tcPr>
            <w:tcW w:w="40" w:type="dxa"/>
            <w:vAlign w:val="bottom"/>
            <w:shd w:val="clear" w:color="auto" w:fill="CCE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Grants outstanding at end of the period</w:t>
            </w:r>
          </w:p>
        </w:tc>
        <w:tc>
          <w:tcPr>
            <w:tcW w:w="1320" w:type="dxa"/>
            <w:vAlign w:val="bottom"/>
            <w:tcBorders>
              <w:top w:val="single" w:sz="8" w:color="auto"/>
              <w:bottom w:val="single" w:sz="8" w:color="auto"/>
            </w:tcBorders>
            <w:shd w:val="clear" w:color="auto" w:fill="CCECFC"/>
          </w:tcPr>
          <w:p>
            <w:pPr>
              <w:spacing w:after="0"/>
              <w:rPr>
                <w:sz w:val="20"/>
                <w:szCs w:val="20"/>
                <w:color w:val="auto"/>
              </w:rPr>
            </w:pPr>
          </w:p>
        </w:tc>
        <w:tc>
          <w:tcPr>
            <w:tcW w:w="700" w:type="dxa"/>
            <w:vAlign w:val="bottom"/>
            <w:tcBorders>
              <w:top w:val="single" w:sz="8" w:color="auto"/>
              <w:bottom w:val="single" w:sz="8" w:color="auto"/>
            </w:tcBorders>
            <w:shd w:val="clear" w:color="auto" w:fill="CCEC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CFC"/>
            </w:tcBorders>
            <w:shd w:val="clear" w:color="auto" w:fill="CCEC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ind w:right="132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03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right="240" w:firstLine="749"/>
        <w:spacing w:after="0" w:line="235" w:lineRule="auto"/>
        <w:rPr>
          <w:sz w:val="20"/>
          <w:szCs w:val="20"/>
          <w:color w:val="auto"/>
        </w:rPr>
      </w:pPr>
      <w:r>
        <w:rPr>
          <w:rFonts w:ascii="Arial" w:cs="Arial" w:eastAsia="Arial" w:hAnsi="Arial"/>
          <w:sz w:val="18"/>
          <w:szCs w:val="18"/>
          <w:color w:val="auto"/>
        </w:rPr>
        <w:t>The Company grants RSUs to members of its board of directors and employees. The following table summarizes the Company’s RSU activity for the periods indicated:</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80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For the Year Ended December 31,</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left="502"/>
              <w:spacing w:after="0" w:line="160" w:lineRule="exact"/>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center"/>
              <w:ind w:left="502"/>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center"/>
              <w:ind w:left="502"/>
              <w:spacing w:after="0"/>
              <w:rPr>
                <w:sz w:val="20"/>
                <w:szCs w:val="20"/>
                <w:color w:val="auto"/>
              </w:rPr>
            </w:pPr>
            <w:r>
              <w:rPr>
                <w:rFonts w:ascii="Arial" w:cs="Arial" w:eastAsia="Arial" w:hAnsi="Arial"/>
                <w:sz w:val="14"/>
                <w:szCs w:val="14"/>
                <w:b w:val="1"/>
                <w:bCs w:val="1"/>
                <w:color w:val="auto"/>
                <w:w w:val="97"/>
              </w:rPr>
              <w:t>Grant Date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w w:val="94"/>
              </w:rPr>
              <w:t>Shares</w:t>
            </w:r>
          </w:p>
        </w:tc>
        <w:tc>
          <w:tcPr>
            <w:tcW w:w="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Borders>
              <w:bottom w:val="single" w:sz="8" w:color="auto"/>
            </w:tcBorders>
          </w:tcPr>
          <w:p>
            <w:pPr>
              <w:jc w:val="center"/>
              <w:ind w:left="482"/>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54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Grants outstanding at beginning of the</w:t>
            </w:r>
          </w:p>
        </w:tc>
        <w:tc>
          <w:tcPr>
            <w:tcW w:w="12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947,079</w:t>
            </w:r>
          </w:p>
        </w:tc>
        <w:tc>
          <w:tcPr>
            <w:tcW w:w="300" w:type="dxa"/>
            <w:vAlign w:val="bottom"/>
            <w:shd w:val="clear" w:color="auto" w:fill="CFF0FC"/>
          </w:tcPr>
          <w:p>
            <w:pPr>
              <w:spacing w:after="0"/>
              <w:rPr>
                <w:sz w:val="13"/>
                <w:szCs w:val="13"/>
                <w:color w:val="auto"/>
              </w:rPr>
            </w:pPr>
          </w:p>
        </w:tc>
        <w:tc>
          <w:tcPr>
            <w:tcW w:w="1440" w:type="dxa"/>
            <w:vAlign w:val="bottom"/>
            <w:vMerge w:val="restart"/>
            <w:shd w:val="clear" w:color="auto" w:fill="CFF0FC"/>
          </w:tcPr>
          <w:p>
            <w:pPr>
              <w:jc w:val="right"/>
              <w:ind w:right="1262"/>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8"/>
              </w:rPr>
              <w:t>121.46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7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987,464</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(276,980 )</w:t>
            </w:r>
          </w:p>
        </w:tc>
        <w:tc>
          <w:tcPr>
            <w:tcW w:w="14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119.54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(337,357 )</w:t>
            </w:r>
          </w:p>
        </w:tc>
        <w:tc>
          <w:tcPr>
            <w:tcW w:w="14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106.37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Grants outstanding at end of the period</w:t>
            </w:r>
          </w:p>
        </w:tc>
        <w:tc>
          <w:tcPr>
            <w:tcW w:w="128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1,320,206</w:t>
            </w:r>
          </w:p>
        </w:tc>
        <w:tc>
          <w:tcPr>
            <w:tcW w:w="3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ind w:right="1262"/>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98.69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03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2013 Employee Stock Purchase Plan</w:t>
      </w:r>
    </w:p>
    <w:p>
      <w:pPr>
        <w:spacing w:after="0" w:line="104"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Under the Company’s 2013 ESPP, participating employees purchase common stock through payroll deductions. The purchase price is equal to 85% of the lower of the closing price of the Company’s common stock on the first business day and the last business day of the relevant purchase period. The 24-month offering period will end on August 31, 2023. The following table summarizes the Company’s ESPP activity for each of the periods indicated:</w:t>
      </w:r>
    </w:p>
    <w:p>
      <w:pPr>
        <w:spacing w:after="0" w:line="247"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9"/>
        </w:trPr>
        <w:tc>
          <w:tcPr>
            <w:tcW w:w="424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color w:val="auto"/>
              </w:rPr>
              <w:t>Number of shares purchased</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111,171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102,031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92,086</w:t>
            </w:r>
          </w:p>
        </w:tc>
        <w:tc>
          <w:tcPr>
            <w:tcW w:w="80" w:type="dxa"/>
            <w:vAlign w:val="bottom"/>
            <w:shd w:val="clear" w:color="auto" w:fill="CFF0FC"/>
          </w:tcPr>
          <w:p>
            <w:pPr>
              <w:spacing w:after="0"/>
              <w:rPr>
                <w:sz w:val="17"/>
                <w:szCs w:val="17"/>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Proceeds received (in millions)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The following table summarizes stock-based compensation expense by function included within the consolidated statements of operations and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41,671</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50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63,417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66,399</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50,921</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113,943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108,070</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78,602</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F-30</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-504825</wp:posOffset>
            </wp:positionV>
            <wp:extent cx="431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-488315</wp:posOffset>
            </wp:positionV>
            <wp:extent cx="431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-504825</wp:posOffset>
            </wp:positionV>
            <wp:extent cx="431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-488315</wp:posOffset>
            </wp:positionV>
            <wp:extent cx="431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-504825</wp:posOffset>
            </wp:positionV>
            <wp:extent cx="431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-488315</wp:posOffset>
            </wp:positionV>
            <wp:extent cx="431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3" w:name="page124"/>
    <w:bookmarkEnd w:id="123"/>
    <w:p>
      <w:pPr>
        <w:ind w:right="120" w:firstLine="749"/>
        <w:spacing w:after="0" w:line="261" w:lineRule="auto"/>
        <w:rPr>
          <w:sz w:val="20"/>
          <w:szCs w:val="20"/>
          <w:color w:val="auto"/>
        </w:rPr>
      </w:pPr>
      <w:r>
        <w:rPr>
          <w:rFonts w:ascii="Arial" w:cs="Arial" w:eastAsia="Arial" w:hAnsi="Arial"/>
          <w:sz w:val="18"/>
          <w:szCs w:val="18"/>
          <w:color w:val="auto"/>
        </w:rPr>
        <w:t>The following table summarizes stock-based compensation expense by grant type included within the consolidated statements of operations and comprehensive loss: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38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Stock options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68,995</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68,832</w:t>
            </w:r>
          </w:p>
        </w:tc>
        <w:tc>
          <w:tcPr>
            <w:tcW w:w="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53,427</w:t>
            </w:r>
          </w:p>
        </w:tc>
        <w:tc>
          <w:tcPr>
            <w:tcW w:w="60" w:type="dxa"/>
            <w:vAlign w:val="bottom"/>
            <w:shd w:val="clear" w:color="auto" w:fill="CFF0FC"/>
          </w:tcPr>
          <w:p>
            <w:pPr>
              <w:spacing w:after="0"/>
              <w:rPr>
                <w:sz w:val="17"/>
                <w:szCs w:val="17"/>
                <w:color w:val="auto"/>
              </w:rPr>
            </w:pPr>
          </w:p>
        </w:tc>
      </w:tr>
      <w:tr>
        <w:trPr>
          <w:trHeight w:val="203"/>
        </w:trPr>
        <w:tc>
          <w:tcPr>
            <w:tcW w:w="4380" w:type="dxa"/>
            <w:vAlign w:val="bottom"/>
          </w:tcPr>
          <w:p>
            <w:pPr>
              <w:ind w:left="240"/>
              <w:spacing w:after="0" w:line="202" w:lineRule="exact"/>
              <w:rPr>
                <w:sz w:val="20"/>
                <w:szCs w:val="20"/>
                <w:color w:val="auto"/>
              </w:rPr>
            </w:pPr>
            <w:r>
              <w:rPr>
                <w:rFonts w:ascii="Arial" w:cs="Arial" w:eastAsia="Arial" w:hAnsi="Arial"/>
                <w:sz w:val="18"/>
                <w:szCs w:val="18"/>
                <w:color w:val="auto"/>
              </w:rPr>
              <w:t>Restricted stock awards/units</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40,055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33,457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20,103</w:t>
            </w:r>
          </w:p>
        </w:tc>
        <w:tc>
          <w:tcPr>
            <w:tcW w:w="60" w:type="dxa"/>
            <w:vAlign w:val="bottom"/>
          </w:tcPr>
          <w:p>
            <w:pPr>
              <w:spacing w:after="0"/>
              <w:rPr>
                <w:sz w:val="17"/>
                <w:szCs w:val="17"/>
                <w:color w:val="auto"/>
              </w:rPr>
            </w:pPr>
          </w:p>
        </w:tc>
      </w:tr>
      <w:tr>
        <w:trPr>
          <w:trHeight w:val="203"/>
        </w:trPr>
        <w:tc>
          <w:tcPr>
            <w:tcW w:w="438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Employee stock purchase plan</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4,893</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5,781</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5,072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380" w:type="dxa"/>
            <w:vAlign w:val="bottom"/>
          </w:tcPr>
          <w:p>
            <w:pPr>
              <w:ind w:left="60"/>
              <w:spacing w:after="0" w:line="196" w:lineRule="exact"/>
              <w:rPr>
                <w:sz w:val="20"/>
                <w:szCs w:val="20"/>
                <w:color w:val="auto"/>
              </w:rPr>
            </w:pPr>
            <w:r>
              <w:rPr>
                <w:rFonts w:ascii="Arial" w:cs="Arial" w:eastAsia="Arial" w:hAnsi="Arial"/>
                <w:sz w:val="18"/>
                <w:szCs w:val="18"/>
                <w:color w:val="auto"/>
              </w:rPr>
              <w:t>Total stock-based compensation</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113,943</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108,070</w:t>
            </w:r>
          </w:p>
        </w:tc>
        <w:tc>
          <w:tcPr>
            <w:tcW w:w="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78,602</w:t>
            </w:r>
          </w:p>
        </w:tc>
        <w:tc>
          <w:tcPr>
            <w:tcW w:w="6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5143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-159385</wp:posOffset>
            </wp:positionV>
            <wp:extent cx="4318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As of December 31, 2021, there was $175.7 million of total unrecognized stock-based compensation expense related to the Company’s stock-based compensation plans. The expense is expected to be recognized over a weighted-average period of approximately 3 years. Of this amount, $92.4 million relates to options with service conditions only, $4.3 million relates to awards with service and market conditions, and the remaining $79.0 million related to restricted stock units with service conditions only.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 (K) PLAN</w:t>
      </w:r>
    </w:p>
    <w:p>
      <w:pPr>
        <w:spacing w:after="0" w:line="108"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The Company sponsors a 401(k) Plan (“the Plan”) in the U.S. and other retirement plans in the rest of the world, all of which are defined contribution plans. The Plan is available to all employees who are age 21 or older. Participants may make voluntary contributions and the Company makes matching contributions according to the Plan’s matching formula. Matching contributions fully vest after one year of service for all employees. The expense related to the Plan primarily consists of the Company’s matching contributions.</w:t>
      </w:r>
    </w:p>
    <w:p>
      <w:pPr>
        <w:spacing w:after="0" w:line="188" w:lineRule="exact"/>
        <w:rPr>
          <w:sz w:val="20"/>
          <w:szCs w:val="20"/>
          <w:color w:val="auto"/>
        </w:rPr>
      </w:pPr>
    </w:p>
    <w:p>
      <w:pPr>
        <w:ind w:right="780" w:firstLine="749"/>
        <w:spacing w:after="0" w:line="261" w:lineRule="auto"/>
        <w:rPr>
          <w:sz w:val="20"/>
          <w:szCs w:val="20"/>
          <w:color w:val="auto"/>
        </w:rPr>
      </w:pPr>
      <w:r>
        <w:rPr>
          <w:rFonts w:ascii="Arial" w:cs="Arial" w:eastAsia="Arial" w:hAnsi="Arial"/>
          <w:sz w:val="18"/>
          <w:szCs w:val="18"/>
          <w:color w:val="auto"/>
        </w:rPr>
        <w:t>Expense related to the Plan totaled $5.3 million, $5.3 million and $3.4 million for the years ended December 31, 2021,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(LOSS)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other income (loss) for the periods indicated:</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4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97"/>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(63,525 )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(59,947 )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(30,669 )</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2,970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7,238</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investment discount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15,350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Gain from sale of Priority Review Voucher</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102,000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108,069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Gain (loss) on contingent consideration, net*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(45,000 )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Impairment of equity investment</w:t>
            </w:r>
          </w:p>
        </w:tc>
        <w:tc>
          <w:tcPr>
            <w:tcW w:w="32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(4,488 )</w:t>
            </w:r>
          </w:p>
        </w:tc>
        <w:tc>
          <w:tcPr>
            <w:tcW w:w="16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shd w:val="clear" w:color="auto" w:fill="CCECFC"/>
          </w:tcPr>
          <w:p>
            <w:pPr>
              <w:ind w:left="100"/>
              <w:spacing w:after="0" w:line="202" w:lineRule="exact"/>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CECFC"/>
          </w:tcPr>
          <w:p>
            <w:pPr>
              <w:spacing w:after="0"/>
              <w:rPr>
                <w:sz w:val="17"/>
                <w:szCs w:val="17"/>
                <w:color w:val="auto"/>
              </w:rPr>
            </w:pPr>
          </w:p>
        </w:tc>
        <w:tc>
          <w:tcPr>
            <w:tcW w:w="1320" w:type="dxa"/>
            <w:vAlign w:val="bottom"/>
            <w:gridSpan w:val="2"/>
            <w:shd w:val="clear" w:color="auto" w:fill="CCECFC"/>
          </w:tcPr>
          <w:p>
            <w:pPr>
              <w:jc w:val="right"/>
              <w:ind w:right="180"/>
              <w:spacing w:after="0" w:line="202" w:lineRule="exact"/>
              <w:rPr>
                <w:sz w:val="20"/>
                <w:szCs w:val="20"/>
                <w:color w:val="auto"/>
              </w:rPr>
            </w:pPr>
            <w:r>
              <w:rPr>
                <w:rFonts w:ascii="Arial" w:cs="Arial" w:eastAsia="Arial" w:hAnsi="Arial"/>
                <w:sz w:val="18"/>
                <w:szCs w:val="18"/>
                <w:color w:val="auto"/>
              </w:rPr>
              <w:t>(936 )</w:t>
            </w:r>
          </w:p>
        </w:tc>
        <w:tc>
          <w:tcPr>
            <w:tcW w:w="160" w:type="dxa"/>
            <w:vAlign w:val="bottom"/>
            <w:shd w:val="clear" w:color="auto" w:fill="CCECFC"/>
          </w:tcPr>
          <w:p>
            <w:pPr>
              <w:spacing w:after="0"/>
              <w:rPr>
                <w:sz w:val="17"/>
                <w:szCs w:val="17"/>
                <w:color w:val="auto"/>
              </w:rPr>
            </w:pPr>
          </w:p>
        </w:tc>
        <w:tc>
          <w:tcPr>
            <w:tcW w:w="1220" w:type="dxa"/>
            <w:vAlign w:val="bottom"/>
            <w:shd w:val="clear" w:color="auto" w:fill="CCECFC"/>
          </w:tcPr>
          <w:p>
            <w:pPr>
              <w:jc w:val="right"/>
              <w:spacing w:after="0" w:line="202" w:lineRule="exact"/>
              <w:rPr>
                <w:sz w:val="20"/>
                <w:szCs w:val="20"/>
                <w:color w:val="auto"/>
              </w:rPr>
            </w:pPr>
            <w:r>
              <w:rPr>
                <w:rFonts w:ascii="Arial" w:cs="Arial" w:eastAsia="Arial" w:hAnsi="Arial"/>
                <w:sz w:val="18"/>
                <w:szCs w:val="18"/>
                <w:color w:val="auto"/>
              </w:rPr>
              <w:t>517</w:t>
            </w:r>
          </w:p>
        </w:tc>
        <w:tc>
          <w:tcPr>
            <w:tcW w:w="220" w:type="dxa"/>
            <w:vAlign w:val="bottom"/>
            <w:shd w:val="clear" w:color="auto" w:fill="CCECFC"/>
          </w:tcPr>
          <w:p>
            <w:pPr>
              <w:spacing w:after="0"/>
              <w:rPr>
                <w:sz w:val="17"/>
                <w:szCs w:val="17"/>
                <w:color w:val="auto"/>
              </w:rPr>
            </w:pPr>
          </w:p>
        </w:tc>
        <w:tc>
          <w:tcPr>
            <w:tcW w:w="320" w:type="dxa"/>
            <w:vAlign w:val="bottom"/>
            <w:shd w:val="clear" w:color="auto" w:fill="CCECFC"/>
          </w:tcPr>
          <w:p>
            <w:pPr>
              <w:spacing w:after="0"/>
              <w:rPr>
                <w:sz w:val="17"/>
                <w:szCs w:val="17"/>
                <w:color w:val="auto"/>
              </w:rPr>
            </w:pPr>
          </w:p>
        </w:tc>
        <w:tc>
          <w:tcPr>
            <w:tcW w:w="1140" w:type="dxa"/>
            <w:vAlign w:val="bottom"/>
            <w:gridSpan w:val="2"/>
            <w:shd w:val="clear" w:color="auto" w:fill="CCECFC"/>
          </w:tcPr>
          <w:p>
            <w:pPr>
              <w:jc w:val="right"/>
              <w:ind w:right="20"/>
              <w:spacing w:after="0" w:line="202" w:lineRule="exact"/>
              <w:rPr>
                <w:sz w:val="20"/>
                <w:szCs w:val="20"/>
                <w:color w:val="auto"/>
              </w:rPr>
            </w:pPr>
            <w:r>
              <w:rPr>
                <w:rFonts w:ascii="Arial" w:cs="Arial" w:eastAsia="Arial" w:hAnsi="Arial"/>
                <w:sz w:val="18"/>
                <w:szCs w:val="18"/>
                <w:color w:val="auto"/>
              </w:rPr>
              <w:t>(236 )</w:t>
            </w:r>
          </w:p>
        </w:tc>
      </w:tr>
      <w:tr>
        <w:trPr>
          <w:trHeight w:val="20"/>
        </w:trPr>
        <w:tc>
          <w:tcPr>
            <w:tcW w:w="4280" w:type="dxa"/>
            <w:vAlign w:val="bottom"/>
            <w:shd w:val="clear" w:color="auto" w:fill="CCEC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C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C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CFC"/>
          </w:tcPr>
          <w:p>
            <w:pPr>
              <w:spacing w:after="0" w:line="20" w:lineRule="exact"/>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rPr>
              <w:t>Total other income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40,762</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11,098</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(8,317 )</w:t>
            </w: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-159385</wp:posOffset>
            </wp:positionV>
            <wp:extent cx="6858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-159385</wp:posOffset>
            </wp:positionV>
            <wp:extent cx="5969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right="20" w:firstLine="8"/>
        <w:spacing w:after="0" w:line="261" w:lineRule="auto"/>
        <w:tabs>
          <w:tab w:leader="none" w:pos="1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gain (loss) on contingent consideration, net is related to the fair value adjustment of the regulatory-related contingent payments that are accounted for as derivatives. Please see </w:t>
      </w:r>
      <w:r>
        <w:rPr>
          <w:rFonts w:ascii="Arial" w:cs="Arial" w:eastAsia="Arial" w:hAnsi="Arial"/>
          <w:sz w:val="18"/>
          <w:szCs w:val="18"/>
          <w:i w:val="1"/>
          <w:iCs w:val="1"/>
          <w:color w:val="auto"/>
        </w:rPr>
        <w:t>Note 5. Fair Value Measurements</w:t>
      </w:r>
      <w:r>
        <w:rPr>
          <w:rFonts w:ascii="Arial" w:cs="Arial" w:eastAsia="Arial" w:hAnsi="Arial"/>
          <w:sz w:val="18"/>
          <w:szCs w:val="18"/>
          <w:color w:val="auto"/>
        </w:rPr>
        <w:t xml:space="preserve"> for further details.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loss before the provision (benefit) for income taxes by jurisdiction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497"/>
              <w:spacing w:after="0"/>
              <w:rPr>
                <w:sz w:val="20"/>
                <w:szCs w:val="20"/>
                <w:color w:val="auto"/>
              </w:rPr>
            </w:pPr>
            <w:r>
              <w:rPr>
                <w:rFonts w:ascii="Arial" w:cs="Arial" w:eastAsia="Arial" w:hAnsi="Arial"/>
                <w:sz w:val="14"/>
                <w:szCs w:val="14"/>
                <w:b w:val="1"/>
                <w:bCs w:val="1"/>
                <w:color w:val="auto"/>
                <w:w w:val="93"/>
              </w:rPr>
              <w:t>For the 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4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Domestic</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(47,633 )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(204,956 )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(489,747 )</w:t>
            </w:r>
          </w:p>
        </w:tc>
        <w:tc>
          <w:tcPr>
            <w:tcW w:w="112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Foreign</w:t>
            </w:r>
          </w:p>
        </w:tc>
        <w:tc>
          <w:tcPr>
            <w:tcW w:w="480" w:type="dxa"/>
            <w:vAlign w:val="bottom"/>
          </w:tcPr>
          <w:p>
            <w:pPr>
              <w:spacing w:after="0"/>
              <w:rPr>
                <w:sz w:val="17"/>
                <w:szCs w:val="17"/>
                <w:color w:val="auto"/>
              </w:rPr>
            </w:pPr>
          </w:p>
        </w:tc>
        <w:tc>
          <w:tcPr>
            <w:tcW w:w="11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(371,315 )</w:t>
            </w:r>
          </w:p>
        </w:tc>
        <w:tc>
          <w:tcPr>
            <w:tcW w:w="160" w:type="dxa"/>
            <w:vAlign w:val="bottom"/>
          </w:tcPr>
          <w:p>
            <w:pPr>
              <w:spacing w:after="0"/>
              <w:rPr>
                <w:sz w:val="17"/>
                <w:szCs w:val="17"/>
                <w:color w:val="auto"/>
              </w:rPr>
            </w:pPr>
          </w:p>
        </w:tc>
        <w:tc>
          <w:tcPr>
            <w:tcW w:w="1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(348,109 )</w:t>
            </w:r>
          </w:p>
        </w:tc>
        <w:tc>
          <w:tcPr>
            <w:tcW w:w="34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(224,133 )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(418,948</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(553,065</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(713,880</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F-31</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-513715</wp:posOffset>
            </wp:positionV>
            <wp:extent cx="603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-496570</wp:posOffset>
            </wp:positionV>
            <wp:extent cx="603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03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-496570</wp:posOffset>
            </wp:positionV>
            <wp:extent cx="603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-513715</wp:posOffset>
            </wp:positionV>
            <wp:extent cx="596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-496570</wp:posOffset>
            </wp:positionV>
            <wp:extent cx="596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4" w:name="page125"/>
    <w:bookmarkEnd w:id="124"/>
    <w:p>
      <w:pPr>
        <w:ind w:left="760"/>
        <w:spacing w:after="0"/>
        <w:rPr>
          <w:sz w:val="20"/>
          <w:szCs w:val="20"/>
          <w:color w:val="auto"/>
        </w:rPr>
      </w:pPr>
      <w:r>
        <w:rPr>
          <w:rFonts w:ascii="Arial" w:cs="Arial" w:eastAsia="Arial" w:hAnsi="Arial"/>
          <w:sz w:val="17"/>
          <w:szCs w:val="17"/>
          <w:color w:val="auto"/>
        </w:rPr>
        <w:t>The following table summarizes provision (benefit) for income taxes in the accompanying consolidated financial statements for the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4"/>
                <w:szCs w:val="14"/>
                <w:b w:val="1"/>
                <w:bCs w:val="1"/>
                <w:color w:val="auto"/>
                <w:w w:val="94"/>
              </w:rPr>
              <w:t>For the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38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1"/>
        </w:trPr>
        <w:tc>
          <w:tcPr>
            <w:tcW w:w="4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Current provision:</w:t>
            </w: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92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9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(40 )</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1,050</w:t>
            </w:r>
          </w:p>
        </w:tc>
        <w:tc>
          <w:tcPr>
            <w:tcW w:w="100" w:type="dxa"/>
            <w:vAlign w:val="bottom"/>
          </w:tcPr>
          <w:p>
            <w:pPr>
              <w:spacing w:after="0"/>
              <w:rPr>
                <w:sz w:val="17"/>
                <w:szCs w:val="17"/>
                <w:color w:val="auto"/>
              </w:rPr>
            </w:pPr>
          </w:p>
        </w:tc>
      </w:tr>
      <w:tr>
        <w:trPr>
          <w:trHeight w:val="196"/>
        </w:trPr>
        <w:tc>
          <w:tcPr>
            <w:tcW w:w="4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current provision</w:t>
            </w:r>
          </w:p>
        </w:tc>
        <w:tc>
          <w:tcPr>
            <w:tcW w:w="9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1,308</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Deferred benefit:</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9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(15 )</w:t>
            </w: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920" w:type="dxa"/>
            <w:vAlign w:val="bottom"/>
          </w:tcPr>
          <w:p>
            <w:pPr>
              <w:spacing w:after="0"/>
              <w:rPr>
                <w:sz w:val="17"/>
                <w:szCs w:val="17"/>
                <w:color w:val="auto"/>
              </w:rPr>
            </w:pPr>
          </w:p>
        </w:tc>
        <w:tc>
          <w:tcPr>
            <w:tcW w:w="6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(5 )</w:t>
            </w: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9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(309 )</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(356 )</w:t>
            </w:r>
          </w:p>
        </w:tc>
      </w:tr>
      <w:tr>
        <w:trPr>
          <w:trHeight w:val="20"/>
        </w:trPr>
        <w:tc>
          <w:tcPr>
            <w:tcW w:w="43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Total deferred benefit</w:t>
            </w:r>
          </w:p>
        </w:tc>
        <w:tc>
          <w:tcPr>
            <w:tcW w:w="920" w:type="dxa"/>
            <w:vAlign w:val="bottom"/>
          </w:tcPr>
          <w:p>
            <w:pPr>
              <w:spacing w:after="0"/>
              <w:rPr>
                <w:sz w:val="17"/>
                <w:szCs w:val="17"/>
                <w:color w:val="auto"/>
              </w:rPr>
            </w:pPr>
          </w:p>
        </w:tc>
        <w:tc>
          <w:tcPr>
            <w:tcW w:w="6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(309 )</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(245 )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(376 )</w:t>
            </w:r>
          </w:p>
        </w:tc>
      </w:tr>
      <w:tr>
        <w:trPr>
          <w:trHeight w:val="236"/>
        </w:trPr>
        <w:tc>
          <w:tcPr>
            <w:tcW w:w="43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income tax (benefit) expense</w:t>
            </w:r>
          </w:p>
        </w:tc>
        <w:tc>
          <w:tcPr>
            <w:tcW w:w="920" w:type="dxa"/>
            <w:vAlign w:val="bottom"/>
            <w:tcBorders>
              <w:top w:val="single" w:sz="8" w:color="auto"/>
              <w:bottom w:val="single" w:sz="8" w:color="auto"/>
            </w:tcBorders>
            <w:shd w:val="clear" w:color="auto" w:fill="CFF0FC"/>
          </w:tcPr>
          <w:p>
            <w:pPr>
              <w:jc w:val="right"/>
              <w:ind w:right="73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(168</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1,063</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-819150</wp:posOffset>
            </wp:positionV>
            <wp:extent cx="6858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-819150</wp:posOffset>
            </wp:positionV>
            <wp:extent cx="6032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-819150</wp:posOffset>
            </wp:positionV>
            <wp:extent cx="5969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-296545</wp:posOffset>
            </wp:positionV>
            <wp:extent cx="6858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-296545</wp:posOffset>
            </wp:positionV>
            <wp:extent cx="6032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0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032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The following table summarizes the reconciliation between the Company’s effective tax rate and the statutory income tax rate for each of the periods indicated:</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FF0FC"/>
          </w:tcPr>
          <w:p>
            <w:pPr>
              <w:ind w:left="180"/>
              <w:spacing w:after="0" w:line="199" w:lineRule="exact"/>
              <w:rPr>
                <w:sz w:val="20"/>
                <w:szCs w:val="20"/>
                <w:color w:val="auto"/>
              </w:rPr>
            </w:pPr>
            <w:r>
              <w:rPr>
                <w:rFonts w:ascii="Arial" w:cs="Arial" w:eastAsia="Arial" w:hAnsi="Arial"/>
                <w:sz w:val="18"/>
                <w:szCs w:val="18"/>
                <w:color w:val="auto"/>
              </w:rPr>
              <w:t>Federal income tax rate</w:t>
            </w: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70"/>
              <w:spacing w:after="0" w:line="199"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30"/>
              <w:spacing w:after="0" w:line="199"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State taxes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80"/>
              <w:spacing w:after="0" w:line="162" w:lineRule="exact"/>
              <w:rPr>
                <w:sz w:val="20"/>
                <w:szCs w:val="20"/>
                <w:color w:val="auto"/>
              </w:rPr>
            </w:pPr>
            <w:r>
              <w:rPr>
                <w:rFonts w:ascii="Arial" w:cs="Arial" w:eastAsia="Arial" w:hAnsi="Arial"/>
                <w:sz w:val="18"/>
                <w:szCs w:val="18"/>
                <w:color w:val="auto"/>
              </w:rPr>
              <w:t>Research and development and other tax</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credits</w:t>
            </w:r>
          </w:p>
        </w:tc>
        <w:tc>
          <w:tcPr>
            <w:tcW w:w="4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(21.3 )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Permanent differences</w:t>
            </w:r>
          </w:p>
        </w:tc>
        <w:tc>
          <w:tcPr>
            <w:tcW w:w="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(0.3 )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(1.6 )</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(3.0 )</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Basis difference in subsidiary</w:t>
            </w:r>
          </w:p>
        </w:tc>
        <w:tc>
          <w:tcPr>
            <w:tcW w:w="5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(8.4 )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rate differential</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8"/>
              </w:rPr>
              <w:t>(18.4 )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(12.9 )</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spacing w:after="0" w:line="182" w:lineRule="exact"/>
              <w:rPr>
                <w:sz w:val="20"/>
                <w:szCs w:val="20"/>
                <w:color w:val="auto"/>
              </w:rPr>
            </w:pPr>
            <w:r>
              <w:rPr>
                <w:rFonts w:ascii="Arial" w:cs="Arial" w:eastAsia="Arial" w:hAnsi="Arial"/>
                <w:sz w:val="18"/>
                <w:szCs w:val="18"/>
                <w:color w:val="auto"/>
              </w:rPr>
              <w:t>Effective tax rate</w:t>
            </w:r>
          </w:p>
        </w:tc>
        <w:tc>
          <w:tcPr>
            <w:tcW w:w="840" w:type="dxa"/>
            <w:vAlign w:val="bottom"/>
            <w:gridSpan w:val="3"/>
          </w:tcPr>
          <w:p>
            <w:pPr>
              <w:jc w:val="right"/>
              <w:ind w:right="70"/>
              <w:spacing w:after="0" w:line="183" w:lineRule="exact"/>
              <w:rPr>
                <w:sz w:val="20"/>
                <w:szCs w:val="20"/>
                <w:color w:val="auto"/>
              </w:rPr>
            </w:pPr>
            <w:r>
              <w:rPr>
                <w:rFonts w:ascii="Arial" w:cs="Arial" w:eastAsia="Arial" w:hAnsi="Arial"/>
                <w:sz w:val="13"/>
                <w:szCs w:val="13"/>
                <w:color w:val="auto"/>
              </w:rPr>
              <w:t xml:space="preserve">(0.0 ) </w:t>
            </w:r>
            <w:r>
              <w:rPr>
                <w:rFonts w:ascii="Arial" w:cs="Arial" w:eastAsia="Arial" w:hAnsi="Arial"/>
                <w:sz w:val="21"/>
                <w:szCs w:val="21"/>
                <w:color w:val="auto"/>
                <w:vertAlign w:val="subscript"/>
              </w:rPr>
              <w:t>%</w:t>
            </w:r>
          </w:p>
        </w:tc>
        <w:tc>
          <w:tcPr>
            <w:tcW w:w="1560" w:type="dxa"/>
            <w:vAlign w:val="bottom"/>
            <w:gridSpan w:val="3"/>
          </w:tcPr>
          <w:p>
            <w:pPr>
              <w:jc w:val="right"/>
              <w:ind w:right="30"/>
              <w:spacing w:after="0" w:line="183" w:lineRule="exact"/>
              <w:rPr>
                <w:sz w:val="20"/>
                <w:szCs w:val="20"/>
                <w:color w:val="auto"/>
              </w:rPr>
            </w:pPr>
            <w:r>
              <w:rPr>
                <w:rFonts w:ascii="Arial" w:cs="Arial" w:eastAsia="Arial" w:hAnsi="Arial"/>
                <w:sz w:val="13"/>
                <w:szCs w:val="13"/>
                <w:color w:val="auto"/>
              </w:rPr>
              <w:t xml:space="preserve">(0.2 ) </w:t>
            </w:r>
            <w:r>
              <w:rPr>
                <w:rFonts w:ascii="Arial" w:cs="Arial" w:eastAsia="Arial" w:hAnsi="Arial"/>
                <w:sz w:val="21"/>
                <w:szCs w:val="21"/>
                <w:color w:val="auto"/>
                <w:vertAlign w:val="subscript"/>
              </w:rPr>
              <w:t>%</w:t>
            </w:r>
          </w:p>
        </w:tc>
        <w:tc>
          <w:tcPr>
            <w:tcW w:w="220" w:type="dxa"/>
            <w:vAlign w:val="bottom"/>
          </w:tcPr>
          <w:p>
            <w:pPr>
              <w:spacing w:after="0"/>
              <w:rPr>
                <w:sz w:val="17"/>
                <w:szCs w:val="17"/>
                <w:color w:val="auto"/>
              </w:rPr>
            </w:pPr>
          </w:p>
        </w:tc>
        <w:tc>
          <w:tcPr>
            <w:tcW w:w="1200" w:type="dxa"/>
            <w:vAlign w:val="bottom"/>
            <w:gridSpan w:val="3"/>
          </w:tcPr>
          <w:p>
            <w:pPr>
              <w:jc w:val="right"/>
              <w:spacing w:after="0" w:line="183" w:lineRule="exact"/>
              <w:rPr>
                <w:sz w:val="20"/>
                <w:szCs w:val="20"/>
                <w:color w:val="auto"/>
              </w:rPr>
            </w:pPr>
            <w:r>
              <w:rPr>
                <w:rFonts w:ascii="Arial" w:cs="Arial" w:eastAsia="Arial" w:hAnsi="Arial"/>
                <w:sz w:val="13"/>
                <w:szCs w:val="13"/>
                <w:color w:val="auto"/>
              </w:rPr>
              <w:t xml:space="preserve">(0.2 ) </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-159385</wp:posOffset>
            </wp:positionV>
            <wp:extent cx="685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-159385</wp:posOffset>
            </wp:positionV>
            <wp:extent cx="6858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6032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Permanent differences affecting the Company’s effective tax rate primarily include excess stock-based compensation tax deductions, net of non-deductible stock-based compensation and limitation on deductibility of officer compensations.</w:t>
      </w:r>
    </w:p>
    <w:p>
      <w:pPr>
        <w:spacing w:after="0" w:line="171"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In February 2019, the Company exercised its option to acquire Myonexus. Accumulated costs of $253.7 million, associated with the Myonexus acquisition, were expensed for U.S. GAAP purposes. Of the $253.7 million in accumulated costs, $85.0 million relates to up-front and milestone payments as a result of the execution of the Warrant Agreement in May 2018 as well as certain development milestones being achieved or becoming probable of being achieved and $168.7 million relates to the exercise of the exclusive option to acquire Myonexus in February 2019. For U.S. income tax purposes, these costs are considered to be an investment in the subsidiary and are not currently deductible for tax purposes. The permanent difference related to this acquisition is separately stated in the rate reconciliation above.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125" w:name="page126"/>
    <w:bookmarkEnd w:id="125"/>
    <w:p>
      <w:pPr>
        <w:ind w:left="760"/>
        <w:spacing w:after="0"/>
        <w:rPr>
          <w:sz w:val="20"/>
          <w:szCs w:val="20"/>
          <w:color w:val="auto"/>
        </w:rPr>
      </w:pPr>
      <w:r>
        <w:rPr>
          <w:rFonts w:ascii="Arial" w:cs="Arial" w:eastAsia="Arial" w:hAnsi="Arial"/>
          <w:sz w:val="18"/>
          <w:szCs w:val="18"/>
          <w:color w:val="auto"/>
        </w:rPr>
        <w:t>The following table summarizes the analysis of the deferred tax assets and liabilities for each of the periods indicated:</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1"/>
        </w:trPr>
        <w:tc>
          <w:tcPr>
            <w:tcW w:w="4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330,392</w:t>
            </w:r>
          </w:p>
        </w:tc>
        <w:tc>
          <w:tcPr>
            <w:tcW w:w="240" w:type="dxa"/>
            <w:vAlign w:val="bottom"/>
          </w:tcPr>
          <w:p>
            <w:pPr>
              <w:spacing w:after="0"/>
              <w:rPr>
                <w:sz w:val="17"/>
                <w:szCs w:val="17"/>
                <w:color w:val="auto"/>
              </w:rPr>
            </w:pP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333,703</w:t>
            </w:r>
          </w:p>
        </w:tc>
        <w:tc>
          <w:tcPr>
            <w:tcW w:w="100" w:type="dxa"/>
            <w:vAlign w:val="bottom"/>
          </w:tcPr>
          <w:p>
            <w:pPr>
              <w:spacing w:after="0"/>
              <w:rPr>
                <w:sz w:val="17"/>
                <w:szCs w:val="17"/>
                <w:color w:val="auto"/>
              </w:rPr>
            </w:pPr>
          </w:p>
        </w:tc>
      </w:tr>
      <w:tr>
        <w:trPr>
          <w:trHeight w:val="203"/>
        </w:trPr>
        <w:tc>
          <w:tcPr>
            <w:tcW w:w="4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Difference in depreciation and amortization</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31,563</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31,259</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 tax credits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201,512</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159,917</w:t>
            </w:r>
          </w:p>
        </w:tc>
        <w:tc>
          <w:tcPr>
            <w:tcW w:w="100" w:type="dxa"/>
            <w:vAlign w:val="bottom"/>
          </w:tcPr>
          <w:p>
            <w:pPr>
              <w:spacing w:after="0"/>
              <w:rPr>
                <w:sz w:val="17"/>
                <w:szCs w:val="17"/>
                <w:color w:val="auto"/>
              </w:rPr>
            </w:pPr>
          </w:p>
        </w:tc>
      </w:tr>
      <w:tr>
        <w:trPr>
          <w:trHeight w:val="203"/>
        </w:trPr>
        <w:tc>
          <w:tcPr>
            <w:tcW w:w="4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38,132</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31,212</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10,890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13,120</w:t>
            </w:r>
          </w:p>
        </w:tc>
        <w:tc>
          <w:tcPr>
            <w:tcW w:w="100" w:type="dxa"/>
            <w:vAlign w:val="bottom"/>
          </w:tcPr>
          <w:p>
            <w:pPr>
              <w:spacing w:after="0"/>
              <w:rPr>
                <w:sz w:val="17"/>
                <w:szCs w:val="17"/>
                <w:color w:val="auto"/>
              </w:rPr>
            </w:pPr>
          </w:p>
        </w:tc>
      </w:tr>
      <w:tr>
        <w:trPr>
          <w:trHeight w:val="203"/>
        </w:trPr>
        <w:tc>
          <w:tcPr>
            <w:tcW w:w="4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Capitalized inventory</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24,172</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35,959</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Debt discount</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5,875</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38,315</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28,381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680,851</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633,551</w:t>
            </w:r>
          </w:p>
        </w:tc>
        <w:tc>
          <w:tcPr>
            <w:tcW w:w="100" w:type="dxa"/>
            <w:vAlign w:val="bottom"/>
          </w:tcPr>
          <w:p>
            <w:pPr>
              <w:spacing w:after="0"/>
              <w:rPr>
                <w:sz w:val="17"/>
                <w:szCs w:val="17"/>
                <w:color w:val="auto"/>
              </w:rPr>
            </w:pP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Right of use asset</w:t>
            </w:r>
          </w:p>
        </w:tc>
        <w:tc>
          <w:tcPr>
            <w:tcW w:w="36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(7,405 )</w:t>
            </w:r>
          </w:p>
        </w:tc>
        <w:tc>
          <w:tcPr>
            <w:tcW w:w="5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(8,772 )</w:t>
            </w:r>
          </w:p>
        </w:tc>
      </w:tr>
      <w:tr>
        <w:trPr>
          <w:trHeight w:val="203"/>
        </w:trPr>
        <w:tc>
          <w:tcPr>
            <w:tcW w:w="4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Debt discount</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(18,044 )</w:t>
            </w:r>
          </w:p>
        </w:tc>
      </w:tr>
      <w:tr>
        <w:trPr>
          <w:trHeight w:val="20"/>
        </w:trPr>
        <w:tc>
          <w:tcPr>
            <w:tcW w:w="45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360" w:type="dxa"/>
            <w:vAlign w:val="bottom"/>
          </w:tcPr>
          <w:p>
            <w:pPr>
              <w:spacing w:after="0"/>
              <w:rPr>
                <w:sz w:val="17"/>
                <w:szCs w:val="17"/>
                <w:color w:val="auto"/>
              </w:rPr>
            </w:pP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(7,405 )</w:t>
            </w:r>
          </w:p>
        </w:tc>
        <w:tc>
          <w:tcPr>
            <w:tcW w:w="54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(26,816 )</w:t>
            </w: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(672,319 )</w:t>
            </w:r>
          </w:p>
        </w:tc>
        <w:tc>
          <w:tcPr>
            <w:tcW w:w="5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(605,848 )</w:t>
            </w:r>
          </w:p>
        </w:tc>
      </w:tr>
      <w:tr>
        <w:trPr>
          <w:trHeight w:val="196"/>
        </w:trPr>
        <w:tc>
          <w:tcPr>
            <w:tcW w:w="45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1,127</w:t>
            </w:r>
          </w:p>
        </w:tc>
        <w:tc>
          <w:tcPr>
            <w:tcW w:w="24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w:t>
            </w:r>
          </w:p>
        </w:tc>
        <w:tc>
          <w:tcPr>
            <w:tcW w:w="100" w:type="dxa"/>
            <w:vAlign w:val="bottom"/>
            <w:tcBorders>
              <w:top w:val="single" w:sz="8" w:color="CFF0FC"/>
            </w:tcBorders>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-948055</wp:posOffset>
            </wp:positionV>
            <wp:extent cx="6858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-948055</wp:posOffset>
            </wp:positionV>
            <wp:extent cx="6032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-424815</wp:posOffset>
            </wp:positionV>
            <wp:extent cx="6858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-424815</wp:posOffset>
            </wp:positionV>
            <wp:extent cx="6032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wp:posOffset>
            </wp:positionV>
            <wp:extent cx="6858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U.S. net deferred tax assets, which are comprised principally of federal and state net operating loss carryforwards, research and development tax credit carryforwards, stock-based compensation expense, capitalized inventory, and intangibles. Under the applicable accounting standards, management has considered the Company’s history of losses and concluded that it is more likely than not that the Company will not recognize the benefits of net federal and state deferred tax assets. Accordingly, a full valuation allowance of the U.S. net deferred tax asset is maintained at December 31, 2021 and 2020. The net change in the valuation allowance for deferred tax assets was an increase of $66.5 million and $117.0 million for the years ended December 31, 2021 and 2020, respectively. This increase for the year ended December 31, 2021 was primarily due to the generation of federal and state income tax credits and a decrease in the debt discount deferred tax liability that was recorded through additional paid-in capital as a result of the Company's early adoption of ASU 2020-06.</w:t>
      </w:r>
    </w:p>
    <w:p>
      <w:pPr>
        <w:spacing w:after="0" w:line="168"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Company generated foreign deferred tax assets mainly consisting of net operating loss carryforwards, stock-based compensation and unrealized gain/losses. Based upon the income projections in the majority of the foreign jurisdictions, the Company believes it will realize the benefit of its future deductible differences in these jurisdictions. As such, the Company has not recorded a valuation allowance against these foreign jurisdictions. Brazil, the Netherlands, Czech Republic and one of the entities in the United Kingdom have generated deferred tax assets, which consist of net operating loss carryforwards and stock-based compensation expense. The Company has concluded that it is more likely than not that we will not recognize the future benefits of the deferred tax assets, and accordingly, a full valuation allowance has been recorded against these foreign deferred tax assets.</w:t>
      </w:r>
    </w:p>
    <w:p>
      <w:pPr>
        <w:spacing w:after="0" w:line="161"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As of December 31, 2021, the Company had federal and state net operating loss carryforwards of $1,280.4 million and $841.2 million, respectively, available to reduce future taxable income. The federal and state net operating loss carry forwards of $577.2 million and $797.0 million will expire at various dates between 2022 and 2041. The federal and state net operating loss carryforwards of $703.2 million and $44.2 million, respectively, can be carried forward indefinitely. Utilization of these net operating losses could be limited under Section 382 of the Internal Revenue Code and similar state laws based on historical or future ownership changes and the value of the Company’s stock. Additionally, the Company has $139.2 million and $77.0 million of federal and state research and development credits, respectively, available to offset future taxable income. These federal and state research and development credits begin to expire between 2022 and 2041 and between 2022 and 2036, respectively. The Company also has foreign net operating loss carryforwards of $13.6 million, mainly derived from the net operating loss generated by its subsidiary in Brazil, which may be carried forward indefinitely.</w:t>
      </w:r>
    </w:p>
    <w:p>
      <w:pPr>
        <w:spacing w:after="0" w:line="168"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The Company, or one of its subsidiaries, files income tax returns in the U.S., and various state and foreign jurisdictions. The federal, state and foreign income tax returns are generally subject to tax examinations for the tax years ended December 31, 2018 through December 31, 2021.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6" w:name="page127"/>
    <w:bookmarkEnd w:id="126"/>
    <w:p>
      <w:pPr>
        <w:ind w:left="760"/>
        <w:spacing w:after="0"/>
        <w:rPr>
          <w:sz w:val="20"/>
          <w:szCs w:val="20"/>
          <w:color w:val="auto"/>
        </w:rPr>
      </w:pPr>
      <w:r>
        <w:rPr>
          <w:rFonts w:ascii="Arial" w:cs="Arial" w:eastAsia="Arial" w:hAnsi="Arial"/>
          <w:sz w:val="16"/>
          <w:szCs w:val="16"/>
          <w:color w:val="auto"/>
        </w:rPr>
        <w:t>The follow table summarizes the reconciliation of the beginning and ending amount of total unrecognized tax benefits for each of the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3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1"/>
        </w:trPr>
        <w:tc>
          <w:tcPr>
            <w:tcW w:w="4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the period</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48,475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41,753</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37,544</w:t>
            </w:r>
          </w:p>
        </w:tc>
        <w:tc>
          <w:tcPr>
            <w:tcW w:w="100" w:type="dxa"/>
            <w:vAlign w:val="bottom"/>
            <w:shd w:val="clear" w:color="auto" w:fill="CFF0FC"/>
          </w:tcPr>
          <w:p>
            <w:pPr>
              <w:spacing w:after="0"/>
              <w:rPr>
                <w:sz w:val="18"/>
                <w:szCs w:val="18"/>
                <w:color w:val="auto"/>
              </w:rPr>
            </w:pPr>
          </w:p>
        </w:tc>
      </w:tr>
      <w:tr>
        <w:trPr>
          <w:trHeight w:val="203"/>
        </w:trPr>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Increase related to current year tax positions</w:t>
            </w: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5,503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6,722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4,275</w:t>
            </w:r>
          </w:p>
        </w:tc>
        <w:tc>
          <w:tcPr>
            <w:tcW w:w="100" w:type="dxa"/>
            <w:vAlign w:val="bottom"/>
          </w:tcPr>
          <w:p>
            <w:pPr>
              <w:spacing w:after="0"/>
              <w:rPr>
                <w:sz w:val="17"/>
                <w:szCs w:val="17"/>
                <w:color w:val="auto"/>
              </w:rPr>
            </w:pPr>
          </w:p>
        </w:tc>
      </w:tr>
      <w:tr>
        <w:trPr>
          <w:trHeight w:val="203"/>
        </w:trPr>
        <w:tc>
          <w:tcPr>
            <w:tcW w:w="4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Increase related to prior year tax positions</w:t>
            </w:r>
          </w:p>
        </w:tc>
        <w:tc>
          <w:tcPr>
            <w:tcW w:w="8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7"/>
                <w:szCs w:val="17"/>
                <w:color w:val="auto"/>
              </w:rPr>
            </w:pPr>
          </w:p>
        </w:tc>
      </w:tr>
      <w:tr>
        <w:trPr>
          <w:trHeight w:val="203"/>
        </w:trPr>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Decrease related to prior year tax positions</w:t>
            </w:r>
          </w:p>
        </w:tc>
        <w:tc>
          <w:tcPr>
            <w:tcW w:w="8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(163 )</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(175 )</w:t>
            </w:r>
          </w:p>
        </w:tc>
      </w:tr>
      <w:tr>
        <w:trPr>
          <w:trHeight w:val="236"/>
        </w:trPr>
        <w:tc>
          <w:tcPr>
            <w:tcW w:w="43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at end of the period</w:t>
            </w:r>
          </w:p>
        </w:tc>
        <w:tc>
          <w:tcPr>
            <w:tcW w:w="860" w:type="dxa"/>
            <w:vAlign w:val="bottom"/>
            <w:tcBorders>
              <w:top w:val="single" w:sz="8" w:color="auto"/>
              <w:bottom w:val="single" w:sz="8" w:color="auto"/>
            </w:tcBorders>
            <w:shd w:val="clear" w:color="auto" w:fill="CFF0FC"/>
          </w:tcPr>
          <w:p>
            <w:pPr>
              <w:jc w:val="right"/>
              <w:ind w:right="67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53,815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48,475</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41,753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431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431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The balance of total unrecognized tax benefits at December 31, 2021, if recognized, would not affect the effective tax rate on income from continuing operations, due to a full valuation allowance against the Company’s U.S. deferred tax assets. The Company does not expect that the amount of unrecognized tax benefits to change significantly in the next twelve months. The Company’s policy is to recognize interest and/or penalties related to income tax matters in income tax expense. It had no accrual for interest or penalties on its consolidated balance sheets at December 31, 2021 or 2020. No interest and/or penalties were recognized in 2021 or 2020.</w:t>
      </w:r>
    </w:p>
    <w:p>
      <w:pPr>
        <w:spacing w:after="0" w:line="189"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The Company’s intent is to only make distributions from non-U.S. subsidiaries in the future when they can be made at no net tax cost. Otherwise, the Company considers all of its foreign earnings to be permanently reinvested outside of the U.S. and has no plans to repatriate these foreign earnings to the U.S. The Company has no material unremitted earnings from its non-U.S. subsidiaries.</w:t>
      </w:r>
    </w:p>
    <w:p>
      <w:pPr>
        <w:spacing w:after="0" w:line="182" w:lineRule="exact"/>
        <w:rPr>
          <w:sz w:val="20"/>
          <w:szCs w:val="20"/>
          <w:color w:val="auto"/>
        </w:rPr>
      </w:pPr>
    </w:p>
    <w:p>
      <w:pPr>
        <w:ind w:right="220" w:firstLine="749"/>
        <w:spacing w:after="0" w:line="324" w:lineRule="auto"/>
        <w:rPr>
          <w:sz w:val="20"/>
          <w:szCs w:val="20"/>
          <w:color w:val="auto"/>
        </w:rPr>
      </w:pPr>
      <w:r>
        <w:rPr>
          <w:rFonts w:ascii="Arial" w:cs="Arial" w:eastAsia="Arial" w:hAnsi="Arial"/>
          <w:sz w:val="16"/>
          <w:szCs w:val="16"/>
          <w:color w:val="auto"/>
        </w:rPr>
        <w:t>The Tax Cuts and Jobs Act created a new provision that certain income earned by foreign subsidiaries, known as global intangible low-tax income, must be included in the gross income of their U.S. shareholder. The Company has adopted a policy to account for this provision as a period cost.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LEASES</w:t>
      </w:r>
    </w:p>
    <w:p>
      <w:pPr>
        <w:spacing w:after="0" w:line="216"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 xml:space="preserve">The Company has real estate operating leases in Cambridge, Andover and Burlington, Massachusetts, Dublin and Columbus, Ohio, and Durham, NC that provide for scheduled annual rent increases throughout each lease’s term. The Company has also identified leases embedded in certain of its manufacturing and supply agreements as the Company determined that it controls the use of the facilities and related equipment therein. For more information related to manufacturing and supply agreements with Thermo Fisher Scientific, Inc. (“Thermo”) and Catalent, Inc. (“Catalent”), please refer to </w:t>
      </w:r>
      <w:r>
        <w:rPr>
          <w:rFonts w:ascii="Arial" w:cs="Arial" w:eastAsia="Arial" w:hAnsi="Arial"/>
          <w:sz w:val="18"/>
          <w:szCs w:val="18"/>
          <w:i w:val="1"/>
          <w:iCs w:val="1"/>
          <w:color w:val="auto"/>
        </w:rPr>
        <w:t>Note 21, Commitments and Contingencies</w:t>
      </w:r>
      <w:r>
        <w:rPr>
          <w:rFonts w:ascii="Arial" w:cs="Arial" w:eastAsia="Arial" w:hAnsi="Arial"/>
          <w:sz w:val="18"/>
          <w:szCs w:val="18"/>
          <w:color w:val="auto"/>
        </w:rPr>
        <w:t>.</w:t>
      </w:r>
    </w:p>
    <w:p>
      <w:pPr>
        <w:spacing w:after="0" w:line="189" w:lineRule="exact"/>
        <w:rPr>
          <w:sz w:val="20"/>
          <w:szCs w:val="20"/>
          <w:color w:val="auto"/>
        </w:rPr>
      </w:pPr>
    </w:p>
    <w:p>
      <w:pPr>
        <w:ind w:right="160" w:firstLine="749"/>
        <w:spacing w:after="0" w:line="307" w:lineRule="auto"/>
        <w:rPr>
          <w:sz w:val="20"/>
          <w:szCs w:val="20"/>
          <w:color w:val="auto"/>
        </w:rPr>
      </w:pPr>
      <w:r>
        <w:rPr>
          <w:rFonts w:ascii="Arial" w:cs="Arial" w:eastAsia="Arial" w:hAnsi="Arial"/>
          <w:sz w:val="16"/>
          <w:szCs w:val="16"/>
          <w:color w:val="auto"/>
        </w:rPr>
        <w:t>As of December 31, 2021, ROU assets for operating leases were $45.5 million and operating lease liabilities were $56.6 million. The following table contains a summary of the lease costs recognized and other information pertaining to the Company’s operating leases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80" w:type="dxa"/>
            <w:vAlign w:val="bottom"/>
            <w:gridSpan w:val="3"/>
          </w:tcPr>
          <w:p>
            <w:pPr>
              <w:jc w:val="right"/>
              <w:ind w:right="867"/>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Lease cost</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cost</w:t>
            </w:r>
          </w:p>
        </w:tc>
        <w:tc>
          <w:tcPr>
            <w:tcW w:w="1540" w:type="dxa"/>
            <w:vAlign w:val="bottom"/>
            <w:gridSpan w:val="2"/>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28,737</w:t>
            </w:r>
          </w:p>
        </w:tc>
        <w:tc>
          <w:tcPr>
            <w:tcW w:w="340" w:type="dxa"/>
            <w:vAlign w:val="bottom"/>
          </w:tcPr>
          <w:p>
            <w:pPr>
              <w:spacing w:after="0"/>
              <w:rPr>
                <w:sz w:val="17"/>
                <w:szCs w:val="17"/>
                <w:color w:val="auto"/>
              </w:rPr>
            </w:pPr>
          </w:p>
        </w:tc>
        <w:tc>
          <w:tcPr>
            <w:tcW w:w="1180" w:type="dxa"/>
            <w:vAlign w:val="bottom"/>
          </w:tcPr>
          <w:p>
            <w:pPr>
              <w:jc w:val="right"/>
              <w:ind w:right="10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18,978</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3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18,742</w:t>
            </w:r>
          </w:p>
        </w:tc>
        <w:tc>
          <w:tcPr>
            <w:tcW w:w="3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17,065</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60" w:type="dxa"/>
            <w:vAlign w:val="bottom"/>
          </w:tcPr>
          <w:p>
            <w:pPr>
              <w:spacing w:after="0" w:line="196" w:lineRule="exact"/>
              <w:rPr>
                <w:sz w:val="20"/>
                <w:szCs w:val="20"/>
                <w:color w:val="auto"/>
              </w:rPr>
            </w:pPr>
            <w:r>
              <w:rPr>
                <w:rFonts w:ascii="Arial" w:cs="Arial" w:eastAsia="Arial" w:hAnsi="Arial"/>
                <w:sz w:val="18"/>
                <w:szCs w:val="18"/>
                <w:b w:val="1"/>
                <w:bCs w:val="1"/>
                <w:color w:val="auto"/>
              </w:rPr>
              <w:t>Total lease cost</w:t>
            </w:r>
          </w:p>
        </w:tc>
        <w:tc>
          <w:tcPr>
            <w:tcW w:w="1540" w:type="dxa"/>
            <w:vAlign w:val="bottom"/>
            <w:gridSpan w:val="2"/>
          </w:tcPr>
          <w:p>
            <w:pPr>
              <w:jc w:val="right"/>
              <w:ind w:right="1048"/>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47,479</w:t>
            </w:r>
          </w:p>
        </w:tc>
        <w:tc>
          <w:tcPr>
            <w:tcW w:w="340" w:type="dxa"/>
            <w:vAlign w:val="bottom"/>
          </w:tcPr>
          <w:p>
            <w:pPr>
              <w:spacing w:after="0"/>
              <w:rPr>
                <w:sz w:val="17"/>
                <w:szCs w:val="17"/>
                <w:color w:val="auto"/>
              </w:rPr>
            </w:pPr>
          </w:p>
        </w:tc>
        <w:tc>
          <w:tcPr>
            <w:tcW w:w="1180" w:type="dxa"/>
            <w:vAlign w:val="bottom"/>
          </w:tcPr>
          <w:p>
            <w:pPr>
              <w:jc w:val="right"/>
              <w:ind w:right="10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36,043</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Other information</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 payments</w:t>
            </w:r>
          </w:p>
        </w:tc>
        <w:tc>
          <w:tcPr>
            <w:tcW w:w="1540" w:type="dxa"/>
            <w:vAlign w:val="bottom"/>
            <w:gridSpan w:val="2"/>
            <w:shd w:val="clear" w:color="auto" w:fill="CFF0FC"/>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24,449</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19,344</w:t>
            </w:r>
          </w:p>
        </w:tc>
        <w:tc>
          <w:tcPr>
            <w:tcW w:w="24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8"/>
                <w:szCs w:val="18"/>
                <w:color w:val="auto"/>
                <w:w w:val="95"/>
              </w:rPr>
              <w:t>Operating lease liabilities arising from obtaining ROU</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13,225</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59,327</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Weighted average remaining lease term</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w w:val="97"/>
              </w:rPr>
              <w:t>3.5 years</w:t>
            </w:r>
          </w:p>
        </w:tc>
        <w:tc>
          <w:tcPr>
            <w:tcW w:w="1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w w:val="97"/>
              </w:rPr>
              <w:t>4.6 years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7.6 %</w:t>
            </w:r>
          </w:p>
        </w:tc>
        <w:tc>
          <w:tcPr>
            <w:tcW w:w="1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7.6 %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40" w:type="dxa"/>
            <w:vAlign w:val="bottom"/>
            <w:gridSpan w:val="2"/>
          </w:tcPr>
          <w:p>
            <w:pPr>
              <w:jc w:val="right"/>
              <w:ind w:right="968"/>
              <w:spacing w:after="0"/>
              <w:rPr>
                <w:sz w:val="20"/>
                <w:szCs w:val="20"/>
                <w:color w:val="auto"/>
              </w:rPr>
            </w:pPr>
            <w:r>
              <w:rPr>
                <w:rFonts w:ascii="Arial" w:cs="Arial" w:eastAsia="Arial" w:hAnsi="Arial"/>
                <w:sz w:val="18"/>
                <w:szCs w:val="18"/>
                <w:color w:val="auto"/>
              </w:rPr>
              <w:t>F-34</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-1504950</wp:posOffset>
            </wp:positionV>
            <wp:extent cx="154305" cy="133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1">
                      <a:extLst>
                        <a:ext uri="{28A0092B-C50C-407E-A947-70E740481C1C}"/>
                      </a:extLst>
                    </a:blip>
                    <a:srcRect/>
                    <a:stretch>
                      <a:fillRect/>
                    </a:stretch>
                  </pic:blipFill>
                  <pic:spPr bwMode="auto">
                    <a:xfrm>
                      <a:off x="0" y="0"/>
                      <a:ext cx="154305" cy="13398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-1504950</wp:posOffset>
            </wp:positionV>
            <wp:extent cx="154305" cy="133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2">
                      <a:extLst>
                        <a:ext uri="{28A0092B-C50C-407E-A947-70E740481C1C}"/>
                      </a:extLst>
                    </a:blip>
                    <a:srcRect/>
                    <a:stretch>
                      <a:fillRect/>
                    </a:stretch>
                  </pic:blipFill>
                  <pic:spPr bwMode="auto">
                    <a:xfrm>
                      <a:off x="0" y="0"/>
                      <a:ext cx="154305" cy="1339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7" w:name="page128"/>
    <w:bookmarkEnd w:id="127"/>
    <w:p>
      <w:pPr>
        <w:ind w:left="760"/>
        <w:spacing w:after="0"/>
        <w:rPr>
          <w:sz w:val="20"/>
          <w:szCs w:val="20"/>
          <w:color w:val="auto"/>
        </w:rPr>
      </w:pPr>
      <w:r>
        <w:rPr>
          <w:rFonts w:ascii="Arial" w:cs="Arial" w:eastAsia="Arial" w:hAnsi="Arial"/>
          <w:sz w:val="18"/>
          <w:szCs w:val="18"/>
          <w:color w:val="auto"/>
        </w:rPr>
        <w:t>The following table summarizes maturities of lease liabilities and the reconciliation of lease liabilities as of December 31, 2021:</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 the Year Ended</w:t>
            </w:r>
          </w:p>
        </w:tc>
      </w:tr>
      <w:tr>
        <w:trPr>
          <w:trHeight w:val="185"/>
        </w:trPr>
        <w:tc>
          <w:tcPr>
            <w:tcW w:w="6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6"/>
                <w:szCs w:val="16"/>
                <w:color w:val="auto"/>
              </w:rPr>
            </w:pPr>
          </w:p>
        </w:tc>
      </w:tr>
      <w:tr>
        <w:trPr>
          <w:trHeight w:val="196"/>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2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18,702</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34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18,326</w:t>
            </w: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17,582</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34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9,052</w:t>
            </w: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34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7"/>
                <w:szCs w:val="17"/>
                <w:color w:val="auto"/>
              </w:rPr>
            </w:pPr>
          </w:p>
        </w:tc>
        <w:tc>
          <w:tcPr>
            <w:tcW w:w="2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340" w:type="dxa"/>
            <w:vAlign w:val="bottom"/>
            <w:tcBorders>
              <w:top w:val="single" w:sz="8" w:color="auto"/>
            </w:tcBorders>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64,233</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2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(7,672 )</w:t>
            </w:r>
          </w:p>
        </w:tc>
      </w:tr>
      <w:tr>
        <w:trPr>
          <w:trHeight w:val="236"/>
        </w:trPr>
        <w:tc>
          <w:tcPr>
            <w:tcW w:w="64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56,561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440" w:type="dxa"/>
            <w:vAlign w:val="bottom"/>
          </w:tcPr>
          <w:p>
            <w:pPr>
              <w:spacing w:after="0" w:line="183" w:lineRule="exact"/>
              <w:rPr>
                <w:sz w:val="20"/>
                <w:szCs w:val="20"/>
                <w:color w:val="auto"/>
              </w:rPr>
            </w:pPr>
            <w:r>
              <w:rPr>
                <w:rFonts w:ascii="Arial" w:cs="Arial" w:eastAsia="Arial" w:hAnsi="Arial"/>
                <w:sz w:val="18"/>
                <w:szCs w:val="18"/>
                <w:color w:val="auto"/>
              </w:rPr>
              <w:t>Included in the consolidated balance sheet:</w:t>
            </w:r>
          </w:p>
        </w:tc>
        <w:tc>
          <w:tcPr>
            <w:tcW w:w="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Current portion of lease liabilities within other current liabilities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2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15,049</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100"/>
              <w:spacing w:after="0" w:line="202" w:lineRule="exact"/>
              <w:rPr>
                <w:sz w:val="20"/>
                <w:szCs w:val="20"/>
                <w:color w:val="auto"/>
              </w:rPr>
            </w:pPr>
            <w:r>
              <w:rPr>
                <w:rFonts w:ascii="Arial" w:cs="Arial" w:eastAsia="Arial" w:hAnsi="Arial"/>
                <w:sz w:val="18"/>
                <w:szCs w:val="18"/>
                <w:color w:val="auto"/>
              </w:rPr>
              <w:t>Lease liabilities</w:t>
            </w: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41,512</w:t>
            </w:r>
          </w:p>
        </w:tc>
        <w:tc>
          <w:tcPr>
            <w:tcW w:w="100" w:type="dxa"/>
            <w:vAlign w:val="bottom"/>
          </w:tcPr>
          <w:p>
            <w:pPr>
              <w:spacing w:after="0"/>
              <w:rPr>
                <w:sz w:val="17"/>
                <w:szCs w:val="17"/>
                <w:color w:val="auto"/>
              </w:rPr>
            </w:pPr>
          </w:p>
        </w:tc>
      </w:tr>
      <w:tr>
        <w:trPr>
          <w:trHeight w:val="236"/>
        </w:trPr>
        <w:tc>
          <w:tcPr>
            <w:tcW w:w="64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56,561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-573405</wp:posOffset>
            </wp:positionV>
            <wp:extent cx="59690" cy="154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5">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108" w:lineRule="exact"/>
        <w:rPr>
          <w:sz w:val="20"/>
          <w:szCs w:val="20"/>
          <w:color w:val="auto"/>
        </w:rPr>
      </w:pPr>
    </w:p>
    <w:p>
      <w:pPr>
        <w:ind w:right="220" w:firstLine="749"/>
        <w:spacing w:after="0" w:line="284" w:lineRule="auto"/>
        <w:rPr>
          <w:sz w:val="20"/>
          <w:szCs w:val="20"/>
          <w:color w:val="auto"/>
        </w:rPr>
      </w:pPr>
      <w:r>
        <w:rPr>
          <w:rFonts w:ascii="Arial" w:cs="Arial" w:eastAsia="Arial" w:hAnsi="Arial"/>
          <w:sz w:val="16"/>
          <w:szCs w:val="16"/>
          <w:color w:val="auto"/>
        </w:rPr>
        <w:t>Basic net loss per share is computed by dividing net loss by the weighted-average number of shares of common stock outstanding. Diluted net loss per share is computed by dividing net loss by the weighted-average number of shares of common stock and dilutive common stock equivalents outstanding.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377"/>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8"/>
                <w:szCs w:val="18"/>
                <w:color w:val="auto"/>
              </w:rPr>
            </w:pPr>
          </w:p>
        </w:tc>
      </w:tr>
      <w:tr>
        <w:trPr>
          <w:trHeight w:val="223"/>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6"/>
          </w:tcPr>
          <w:p>
            <w:pPr>
              <w:jc w:val="center"/>
              <w:ind w:left="377"/>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(418,780 )</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(554,128 )</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(715,075 )</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81,262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77,956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73,615</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81,262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77,956</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73,615</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(5.15 )</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(7.11 )</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(9.71 )</w:t>
            </w:r>
          </w:p>
        </w:tc>
      </w:tr>
    </w:tbl>
    <w:p>
      <w:pPr>
        <w:spacing w:after="0" w:line="202" w:lineRule="exact"/>
        <w:rPr>
          <w:sz w:val="20"/>
          <w:szCs w:val="20"/>
          <w:color w:val="auto"/>
        </w:rPr>
      </w:pPr>
    </w:p>
    <w:p>
      <w:pPr>
        <w:ind w:left="140" w:hanging="132"/>
        <w:spacing w:after="0"/>
        <w:tabs>
          <w:tab w:leader="none" w:pos="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the years ended December 31, 2021, 2020 and 2019, stock options, RSAs, RSUs and ESPP to purchase approximately 9.7 million, 9.0 million and</w:t>
      </w:r>
    </w:p>
    <w:p>
      <w:pPr>
        <w:spacing w:after="0" w:line="21" w:lineRule="exact"/>
        <w:rPr>
          <w:rFonts w:ascii="Arial" w:cs="Arial" w:eastAsia="Arial" w:hAnsi="Arial"/>
          <w:sz w:val="16"/>
          <w:szCs w:val="16"/>
          <w:color w:val="auto"/>
        </w:rPr>
      </w:pPr>
    </w:p>
    <w:p>
      <w:pPr>
        <w:ind w:right="40"/>
        <w:spacing w:after="0" w:line="256" w:lineRule="auto"/>
        <w:rPr>
          <w:rFonts w:ascii="Arial" w:cs="Arial" w:eastAsia="Arial" w:hAnsi="Arial"/>
          <w:sz w:val="16"/>
          <w:szCs w:val="16"/>
          <w:color w:val="auto"/>
        </w:rPr>
      </w:pPr>
      <w:r>
        <w:rPr>
          <w:rFonts w:ascii="Arial" w:cs="Arial" w:eastAsia="Arial" w:hAnsi="Arial"/>
          <w:sz w:val="16"/>
          <w:szCs w:val="16"/>
          <w:color w:val="auto"/>
        </w:rPr>
        <w:t>9.1 million shares of common stock, respectively, were excluded from the net loss per share calculation as their effect would have been anti-dilutive. The Company accounts for the effect of the 2024 Notes on diluted net earnings per share using the if-converted method as this obligation may be settled in cash or shares at the Company’s option. The effect of potential share settlement is included in the diluted net earnings per share calculation if the effect is more dilutive. During the year ended December 31, 2021, the inclusion of the potential share settlement of the 2024 Notes was anti-dilutive. Accordingly, the potential conversion of 7,763,552 shares has been excluded from the computation of diluted net earnings per share as of December 31, 2021.</w:t>
      </w:r>
    </w:p>
    <w:p>
      <w:pPr>
        <w:spacing w:after="0" w:line="106" w:lineRule="exact"/>
        <w:rPr>
          <w:sz w:val="20"/>
          <w:szCs w:val="20"/>
          <w:color w:val="auto"/>
        </w:rPr>
      </w:pPr>
    </w:p>
    <w:p>
      <w:pPr>
        <w:ind w:left="260" w:right="7500" w:hanging="252"/>
        <w:spacing w:after="0" w:line="346" w:lineRule="auto"/>
        <w:tabs>
          <w:tab w:leader="none" w:pos="27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Manufacturing Obligations</w:t>
      </w:r>
    </w:p>
    <w:p>
      <w:pPr>
        <w:spacing w:after="0" w:line="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has entered into long-term contractual arrangements from time to time for the provision of goods and services.</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Thermo Fisher Scientific, Inc.</w:t>
      </w:r>
    </w:p>
    <w:p>
      <w:pPr>
        <w:spacing w:after="0" w:line="90" w:lineRule="exact"/>
        <w:rPr>
          <w:sz w:val="20"/>
          <w:szCs w:val="20"/>
          <w:color w:val="auto"/>
        </w:rPr>
      </w:pPr>
    </w:p>
    <w:p>
      <w:pPr>
        <w:ind w:firstLine="749"/>
        <w:spacing w:after="0" w:line="227" w:lineRule="auto"/>
        <w:rPr>
          <w:sz w:val="20"/>
          <w:szCs w:val="20"/>
          <w:color w:val="auto"/>
        </w:rPr>
      </w:pPr>
      <w:r>
        <w:rPr>
          <w:rFonts w:ascii="Arial" w:cs="Arial" w:eastAsia="Arial" w:hAnsi="Arial"/>
          <w:sz w:val="18"/>
          <w:szCs w:val="18"/>
          <w:color w:val="auto"/>
        </w:rPr>
        <w:t>The Company entered into a development, commercial manufacturing, and supply agreement in June 2018 and, subsequently, entered into the first and second amendments in May 2019 and July 2020, respectively, with Thermo, formerly Brammer Bio MA, LLC (collectively, the “Thermo Agreements”). Pursuant to the terms of the Thermo Agreements, the Company had access to substantially all of the facility’s eight clean room suites for the Company’s gene therapy programs, subject to certain minimum and maximum volume limitations. The Company determined that the Thermo Agreements contained a lease because the Company had the right to direct the use of the facility and related equipment therein. The lease on four of the eight dedicated clean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28" w:name="page129"/>
    <w:bookmarkEnd w:id="128"/>
    <w:p>
      <w:pPr>
        <w:ind w:right="220"/>
        <w:spacing w:after="0" w:line="246" w:lineRule="auto"/>
        <w:rPr>
          <w:sz w:val="20"/>
          <w:szCs w:val="20"/>
          <w:color w:val="auto"/>
        </w:rPr>
      </w:pPr>
      <w:r>
        <w:rPr>
          <w:rFonts w:ascii="Arial" w:cs="Arial" w:eastAsia="Arial" w:hAnsi="Arial"/>
          <w:sz w:val="18"/>
          <w:szCs w:val="18"/>
          <w:color w:val="auto"/>
        </w:rPr>
        <w:t>room suites at Thermo commenced during 2020 and the remaining four commenced during 2021, which is when the dedicated clean room suites became available for use by the Company.</w:t>
      </w:r>
    </w:p>
    <w:p>
      <w:pPr>
        <w:spacing w:after="0" w:line="62" w:lineRule="exact"/>
        <w:rPr>
          <w:sz w:val="20"/>
          <w:szCs w:val="20"/>
          <w:color w:val="auto"/>
        </w:rPr>
      </w:pPr>
    </w:p>
    <w:p>
      <w:pPr>
        <w:ind w:right="20" w:firstLine="749"/>
        <w:spacing w:after="0" w:line="225" w:lineRule="auto"/>
        <w:rPr>
          <w:sz w:val="20"/>
          <w:szCs w:val="20"/>
          <w:color w:val="auto"/>
        </w:rPr>
      </w:pPr>
      <w:r>
        <w:rPr>
          <w:rFonts w:ascii="Arial" w:cs="Arial" w:eastAsia="Arial" w:hAnsi="Arial"/>
          <w:sz w:val="18"/>
          <w:szCs w:val="18"/>
          <w:color w:val="auto"/>
        </w:rPr>
        <w:t>In October 2021, the Company executed a third amendment (the “Amendment”) that modified the terms of the Thermo Agreements. The modification significantly decreased the Company’s right of use of the facility’s capacity and significantly reduced the fixed and in-substance fixed payments due over the remaining term of the agreement. The modification was accounted for as a lease termination, resulting in: (i) the derecognition of right of use assets of $23.4 million, (ii) the derecognition of lease liabilities of $20.1 million, and (iii) the recognition of a loss of $3.3 million, which is included in research and development expense. In addition, as a result of the capacity changes associated with the Amendment, $21.1 million of accelerated amortization of nonrefundable advance payments made to Thermo that were previously recorded as other assets in the accompanying consolidated balance sheets were charged to research and development expense.</w:t>
      </w:r>
    </w:p>
    <w:p>
      <w:pPr>
        <w:spacing w:after="0" w:line="73" w:lineRule="exact"/>
        <w:rPr>
          <w:sz w:val="20"/>
          <w:szCs w:val="20"/>
          <w:color w:val="auto"/>
        </w:rPr>
      </w:pPr>
    </w:p>
    <w:p>
      <w:pPr>
        <w:ind w:right="20" w:firstLine="749"/>
        <w:spacing w:after="0" w:line="266" w:lineRule="auto"/>
        <w:rPr>
          <w:sz w:val="20"/>
          <w:szCs w:val="20"/>
          <w:color w:val="auto"/>
        </w:rPr>
      </w:pPr>
      <w:r>
        <w:rPr>
          <w:rFonts w:ascii="Arial" w:cs="Arial" w:eastAsia="Arial" w:hAnsi="Arial"/>
          <w:sz w:val="16"/>
          <w:szCs w:val="16"/>
          <w:color w:val="auto"/>
        </w:rPr>
        <w:t>Under the Amendment, the Thermo Agreements will expire on December 31, 2028, or earlier if certain conditions are met. The Company has the ability to extend the term with an 18-months’ notice and an agreement between the two parties. The Company also has the ability to terminate the Thermo Agreements prior to expiration, subject to the payment of additional financial consideration. Further, the Company has committed to guaranteed purchases under the Amendment on a take-or-pay basis regardless of whether services or goods are ordered. As of December 31, 2021, the Company believes it is probable that the guaranteed purchase requirements will be met in the normal course of business throughout the term of the agreement.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Catalent, Inc.</w:t>
      </w:r>
    </w:p>
    <w:p>
      <w:pPr>
        <w:spacing w:after="0" w:line="90" w:lineRule="exact"/>
        <w:rPr>
          <w:sz w:val="20"/>
          <w:szCs w:val="20"/>
          <w:color w:val="auto"/>
        </w:rPr>
      </w:pPr>
    </w:p>
    <w:p>
      <w:pPr>
        <w:ind w:right="20" w:firstLine="749"/>
        <w:spacing w:after="0" w:line="224" w:lineRule="auto"/>
        <w:rPr>
          <w:sz w:val="20"/>
          <w:szCs w:val="20"/>
          <w:color w:val="auto"/>
        </w:rPr>
      </w:pPr>
      <w:r>
        <w:rPr>
          <w:rFonts w:ascii="Arial" w:cs="Arial" w:eastAsia="Arial" w:hAnsi="Arial"/>
          <w:sz w:val="18"/>
          <w:szCs w:val="18"/>
          <w:color w:val="auto"/>
        </w:rPr>
        <w:t>The Company entered into a manufacturing collaboration agreement and, subsequently, entered into a manufacturing and supply agreement with Catalent, formerly Paragon Biosciences, Inc. in October 2018 and February 2019, respectively (collectively, the “Catalent Agreements”). Pursuant to the terms of the Catalent Agreements, Catalent agreed to provide the Company with two dedicated clean room suites and an option to reserve two additional clean room suites for its gene therapy programs, subject to certain minimum and maximum volume limitations. In September 2019, the Company exercised the option to gain access to the two additional clean room suites. The Catalent Agreements will expire on December 31, 2024. The Company has the ability to terminate the Catalent Agreements prior to expiration, subject to the payment of additional financial consideration. The Company determined that the Catalent Agreements contained a lease because the Company had the right to direct the use of the facility and related equipment therein. The lease on all four dedicated clean room suites at Catalent commenced during 2020, which is when the dedicated clean room suites became available for use by the Company.</w:t>
      </w:r>
    </w:p>
    <w:p>
      <w:pPr>
        <w:spacing w:after="0" w:line="70" w:lineRule="exact"/>
        <w:rPr>
          <w:sz w:val="20"/>
          <w:szCs w:val="20"/>
          <w:color w:val="auto"/>
        </w:rPr>
      </w:pPr>
    </w:p>
    <w:p>
      <w:pPr>
        <w:ind w:right="20" w:firstLine="749"/>
        <w:spacing w:after="0" w:line="266" w:lineRule="auto"/>
        <w:rPr>
          <w:sz w:val="20"/>
          <w:szCs w:val="20"/>
          <w:color w:val="auto"/>
        </w:rPr>
      </w:pPr>
      <w:r>
        <w:rPr>
          <w:rFonts w:ascii="Arial" w:cs="Arial" w:eastAsia="Arial" w:hAnsi="Arial"/>
          <w:sz w:val="16"/>
          <w:szCs w:val="16"/>
          <w:color w:val="auto"/>
        </w:rPr>
        <w:t>In March 2021, the Company modified the terms of the Catalent Agreements. The modification decreased the Company’s right of use of certain dedicated clean room suites and reduced the fixed and in-substance fixed payments due over the remaining term of the agreement. The modification was accounted for as a partial lease termination, resulting in: (i) the derecognition of right of use assets of $22.8 million, (ii) the derecognition of lease liabilities of $20.0 million, and (iii) the recognition of a loss of $2.8 million, which is included in research and development expense.</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Aldevron, LLC</w:t>
      </w:r>
    </w:p>
    <w:p>
      <w:pPr>
        <w:spacing w:after="0" w:line="90" w:lineRule="exact"/>
        <w:rPr>
          <w:sz w:val="20"/>
          <w:szCs w:val="20"/>
          <w:color w:val="auto"/>
        </w:rPr>
      </w:pPr>
    </w:p>
    <w:p>
      <w:pPr>
        <w:ind w:right="60" w:firstLine="749"/>
        <w:spacing w:after="0" w:line="238" w:lineRule="auto"/>
        <w:rPr>
          <w:sz w:val="20"/>
          <w:szCs w:val="20"/>
          <w:color w:val="auto"/>
        </w:rPr>
      </w:pPr>
      <w:r>
        <w:rPr>
          <w:rFonts w:ascii="Arial" w:cs="Arial" w:eastAsia="Arial" w:hAnsi="Arial"/>
          <w:sz w:val="17"/>
          <w:szCs w:val="17"/>
          <w:color w:val="auto"/>
        </w:rPr>
        <w:t>The Company entered into a clinical and commercial supply agreement in December 2018, as subsequently amended in June 2020, with Aldevron LLC (“Aldevron”) for the supply of plasmid DNA to fulfill its needs for gene therapy clinical trials and commercial supply (collectively, the “Aldevron Agreements”). Pursuant to the terms of the Aldevron Agreements, Aldevron agreed to reserve a certain amount of manufacturing capacity on a quarterly basis. In return, the Company is required to make advance payments to Aldevron related to the manufacturing capacity. The term of the Aldevron Agreements will expire on December 31, 2026. The Company has the option to extend the term of the Aldevron Agreements by one year if the Company delivers a written notice of its intention to extend to Aldevron no later than June 1, 2025. Both parties have the right to early terminate without additional penalty. The Company has determined that the Aldevron Agreements do not contain an embedded lease because it does not convey the right to control the use of Aldevron’s facility or related equipment therein.</w:t>
      </w:r>
    </w:p>
    <w:p>
      <w:pPr>
        <w:spacing w:after="0" w:line="177" w:lineRule="exact"/>
        <w:rPr>
          <w:sz w:val="20"/>
          <w:szCs w:val="20"/>
          <w:color w:val="auto"/>
        </w:rPr>
      </w:pPr>
    </w:p>
    <w:p>
      <w:pPr>
        <w:ind w:right="460" w:firstLine="749"/>
        <w:spacing w:after="0" w:line="246" w:lineRule="auto"/>
        <w:rPr>
          <w:sz w:val="20"/>
          <w:szCs w:val="20"/>
          <w:color w:val="auto"/>
        </w:rPr>
      </w:pPr>
      <w:r>
        <w:rPr>
          <w:rFonts w:ascii="Arial" w:cs="Arial" w:eastAsia="Arial" w:hAnsi="Arial"/>
          <w:sz w:val="18"/>
          <w:szCs w:val="18"/>
          <w:color w:val="auto"/>
        </w:rPr>
        <w:t>The following table presents non-cancelable contractual obligations arising from long-term contractual arrangements, including obligations related to leases embedded in certain supply agreements: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95"/>
              <w:spacing w:after="0"/>
              <w:rPr>
                <w:sz w:val="20"/>
                <w:szCs w:val="20"/>
                <w:color w:val="auto"/>
              </w:rPr>
            </w:pPr>
            <w:r>
              <w:rPr>
                <w:rFonts w:ascii="Arial" w:cs="Arial" w:eastAsia="Arial" w:hAnsi="Arial"/>
                <w:sz w:val="14"/>
                <w:szCs w:val="14"/>
                <w:b w:val="1"/>
                <w:bCs w:val="1"/>
                <w:color w:val="auto"/>
                <w:w w:val="85"/>
              </w:rPr>
              <w:t>As of</w:t>
            </w:r>
          </w:p>
        </w:tc>
        <w:tc>
          <w:tcPr>
            <w:tcW w:w="2240" w:type="dxa"/>
            <w:vAlign w:val="bottom"/>
          </w:tcPr>
          <w:p>
            <w:pPr>
              <w:spacing w:after="0"/>
              <w:rPr>
                <w:sz w:val="14"/>
                <w:szCs w:val="14"/>
                <w:color w:val="auto"/>
              </w:rPr>
            </w:pPr>
          </w:p>
        </w:tc>
      </w:tr>
      <w:tr>
        <w:trPr>
          <w:trHeight w:val="185"/>
        </w:trPr>
        <w:tc>
          <w:tcPr>
            <w:tcW w:w="2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December 31, 2021</w:t>
            </w:r>
          </w:p>
        </w:tc>
        <w:tc>
          <w:tcPr>
            <w:tcW w:w="2240" w:type="dxa"/>
            <w:vAlign w:val="bottom"/>
          </w:tcPr>
          <w:p>
            <w:pPr>
              <w:spacing w:after="0"/>
              <w:rPr>
                <w:sz w:val="16"/>
                <w:szCs w:val="16"/>
                <w:color w:val="auto"/>
              </w:rPr>
            </w:pPr>
          </w:p>
        </w:tc>
      </w:tr>
      <w:tr>
        <w:trPr>
          <w:trHeight w:val="196"/>
        </w:trPr>
        <w:tc>
          <w:tcPr>
            <w:tcW w:w="2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(in thousands)</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2022</w:t>
            </w:r>
          </w:p>
        </w:tc>
        <w:tc>
          <w:tcPr>
            <w:tcW w:w="2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647,124</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178,345</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2024</w:t>
            </w:r>
          </w:p>
        </w:tc>
        <w:tc>
          <w:tcPr>
            <w:tcW w:w="2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138,725</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100,838</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2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54,720</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tcPr>
          <w:p>
            <w:pPr>
              <w:ind w:left="100"/>
              <w:spacing w:after="0" w:line="202" w:lineRule="exact"/>
              <w:rPr>
                <w:sz w:val="20"/>
                <w:szCs w:val="20"/>
                <w:color w:val="auto"/>
              </w:rPr>
            </w:pPr>
            <w:r>
              <w:rPr>
                <w:rFonts w:ascii="Arial" w:cs="Arial" w:eastAsia="Arial" w:hAnsi="Arial"/>
                <w:sz w:val="18"/>
                <w:szCs w:val="18"/>
                <w:color w:val="auto"/>
              </w:rPr>
              <w:t>Thereafter</w:t>
            </w:r>
          </w:p>
        </w:tc>
        <w:tc>
          <w:tcPr>
            <w:tcW w:w="2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109,440</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8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manufacturing commitments</w:t>
            </w:r>
          </w:p>
        </w:tc>
        <w:tc>
          <w:tcPr>
            <w:tcW w:w="2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1,229,192</w:t>
            </w:r>
          </w:p>
        </w:tc>
        <w:tc>
          <w:tcPr>
            <w:tcW w:w="2240" w:type="dxa"/>
            <w:vAlign w:val="bottom"/>
          </w:tcPr>
          <w:p>
            <w:pPr>
              <w:spacing w:after="0"/>
              <w:rPr>
                <w:sz w:val="20"/>
                <w:szCs w:val="20"/>
                <w:color w:val="auto"/>
              </w:rPr>
            </w:pPr>
          </w:p>
        </w:tc>
      </w:tr>
      <w:tr>
        <w:trPr>
          <w:trHeight w:val="615"/>
        </w:trPr>
        <w:tc>
          <w:tcPr>
            <w:tcW w:w="2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60" w:type="dxa"/>
            <w:vAlign w:val="bottom"/>
            <w:gridSpan w:val="2"/>
          </w:tcPr>
          <w:p>
            <w:pPr>
              <w:jc w:val="right"/>
              <w:ind w:right="1570"/>
              <w:spacing w:after="0"/>
              <w:rPr>
                <w:sz w:val="20"/>
                <w:szCs w:val="20"/>
                <w:color w:val="auto"/>
              </w:rPr>
            </w:pPr>
            <w:r>
              <w:rPr>
                <w:rFonts w:ascii="Arial" w:cs="Arial" w:eastAsia="Arial" w:hAnsi="Arial"/>
                <w:sz w:val="18"/>
                <w:szCs w:val="18"/>
                <w:color w:val="auto"/>
              </w:rPr>
              <w:t>F-36</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8"/>
        </w:trPr>
        <w:tc>
          <w:tcPr>
            <w:tcW w:w="226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-496570</wp:posOffset>
            </wp:positionV>
            <wp:extent cx="342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-479425</wp:posOffset>
            </wp:positionV>
            <wp:extent cx="342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29" w:name="page130"/>
    <w:bookmarkEnd w:id="129"/>
    <w:p>
      <w:pPr>
        <w:ind w:firstLine="749"/>
        <w:spacing w:after="0" w:line="235" w:lineRule="auto"/>
        <w:rPr>
          <w:sz w:val="20"/>
          <w:szCs w:val="20"/>
          <w:color w:val="auto"/>
        </w:rPr>
      </w:pPr>
      <w:r>
        <w:rPr>
          <w:rFonts w:ascii="Arial" w:cs="Arial" w:eastAsia="Arial" w:hAnsi="Arial"/>
          <w:sz w:val="18"/>
          <w:szCs w:val="18"/>
          <w:color w:val="auto"/>
        </w:rPr>
        <w:t>Additionally, should the Company obtain regulatory approval for any drug product candidate produced as a part of the Company’s manufacturing obligations above, additional minimum batch requirements with the respective manufacturing parties would be required.</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77" w:lineRule="exact"/>
        <w:rPr>
          <w:sz w:val="20"/>
          <w:szCs w:val="20"/>
          <w:color w:val="auto"/>
        </w:rPr>
      </w:pPr>
    </w:p>
    <w:p>
      <w:pPr>
        <w:jc w:val="both"/>
        <w:ind w:right="360" w:firstLine="749"/>
        <w:spacing w:after="0" w:line="249" w:lineRule="auto"/>
        <w:rPr>
          <w:sz w:val="20"/>
          <w:szCs w:val="20"/>
          <w:color w:val="auto"/>
        </w:rPr>
      </w:pPr>
      <w:r>
        <w:rPr>
          <w:rFonts w:ascii="Arial" w:cs="Arial" w:eastAsia="Arial" w:hAnsi="Arial"/>
          <w:sz w:val="16"/>
          <w:szCs w:val="16"/>
          <w:color w:val="auto"/>
        </w:rPr>
        <w:t>The Company has several on-going clinical trials in various clinical trial stages. Its most significant clinical trial expenditures are to contract research organizations (“CROs”). The CRO contracts are generally cancellable at the Company’s option. As of December 31, 2021, the Company has approximately $378.5 million in cancellable future commitments based on existing CRO contracts. For the years ended December 31, 2021, 2020 and 2019, the Company recognized approximately $47.9 million, $40.4 million and $31.6 million, respectively, for expenditures incurred by CROs.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right="20" w:firstLine="749"/>
        <w:spacing w:after="0" w:line="225" w:lineRule="auto"/>
        <w:rPr>
          <w:sz w:val="20"/>
          <w:szCs w:val="20"/>
          <w:color w:val="auto"/>
        </w:rPr>
      </w:pPr>
      <w:r>
        <w:rPr>
          <w:rFonts w:ascii="Arial" w:cs="Arial" w:eastAsia="Arial" w:hAnsi="Arial"/>
          <w:sz w:val="17"/>
          <w:szCs w:val="17"/>
          <w:color w:val="auto"/>
        </w:rPr>
        <w:t>In the normal course of business, the Company may from time to time be named as a party to various legal claims, actions and complaints, including matters involving securities, employment, intellectual property, arising from the use of therapeutics utilizing its technology, or others. We record a loss contingency reserve for a legal proceeding when we consider the potential loss probable and we can reasonably estimate the amount of the loss or determine a probable range of loss. We provide disclosure when we consider a loss reasonably possible or when we determine that a loss in excess of a reserve is reasonably possible. We provide an estimate of such reasonably possible losses or an aggregate range of such reasonably possible losses, unless we believe that such an estimate cannot be made. The Company has not recorded any material accruals for loss contingencies and in management's opinion no material range of loss is estimable for the matters described below as of December 31, 2021.</w:t>
      </w:r>
    </w:p>
    <w:p>
      <w:pPr>
        <w:spacing w:after="0" w:line="54" w:lineRule="exact"/>
        <w:rPr>
          <w:sz w:val="20"/>
          <w:szCs w:val="20"/>
          <w:color w:val="auto"/>
        </w:rPr>
      </w:pPr>
    </w:p>
    <w:p>
      <w:pPr>
        <w:ind w:firstLine="749"/>
        <w:spacing w:after="0" w:line="221" w:lineRule="auto"/>
        <w:rPr>
          <w:sz w:val="20"/>
          <w:szCs w:val="20"/>
          <w:color w:val="auto"/>
        </w:rPr>
      </w:pPr>
      <w:r>
        <w:rPr>
          <w:rFonts w:ascii="Arial" w:cs="Arial" w:eastAsia="Arial" w:hAnsi="Arial"/>
          <w:sz w:val="17"/>
          <w:szCs w:val="17"/>
          <w:color w:val="auto"/>
        </w:rPr>
        <w:t>On September 15, 2020, REGENXBIO INC. (“RegenX”) and the Trustees of the University of Pennsylvania filed a lawsuit against the Company and Sarepta Therapeutics Three, LLC (together, “Sarepta”), in the U.S. District Court for the District of Delaware. The plaintiffs assert patent infringement of U.S. Patent No. 10,526,617 (“the ‘617 Patent”) under 35 U.S.C.§§ 271(a)-(c) based on Sarepta’s alleged direct or indirect manufacture and use of the patented cultured host cell technology allegedly used to make adeno-associated virus (“AAV”) gene therapy products, including SRP-9001. Specifically, the Complaint essentially includes the allegation that Sarepta’s use, and the use by its contract manufacturers on its behalf, of a host cell containing a recombinant acid molecule that encodes a capsid protein having at least 95% amino acid identity to AAVrh10 infringes upon the ‘617 Patent asserted by RegenX. Plaintiffs seek injunctive relief, a judgment of infringement and willful infringement, an unspecified amount of damages that is no less than a reasonable royalty (treble damages), attorneys’ fees and costs, and such other relief as the court deems just and proper. On January 4, 2022, the Court denied Sarepta’s motion to dismiss the case pursuant to Federal Rule of Civil Procedure 12(b)(6) based on the Safe Harbor provision of non-infringement contained in 35 U.S.C. § 271(e)(1). Sarepta answered the Complaint on January 18, 2022, and a case schedule has been set with a trial commencing on January 29, 2024.</w:t>
      </w:r>
    </w:p>
    <w:p>
      <w:pPr>
        <w:spacing w:after="0" w:line="59" w:lineRule="exact"/>
        <w:rPr>
          <w:sz w:val="20"/>
          <w:szCs w:val="20"/>
          <w:color w:val="auto"/>
        </w:rPr>
      </w:pPr>
    </w:p>
    <w:p>
      <w:pPr>
        <w:ind w:right="40" w:firstLine="749"/>
        <w:spacing w:after="0"/>
        <w:rPr>
          <w:sz w:val="20"/>
          <w:szCs w:val="20"/>
          <w:color w:val="auto"/>
        </w:rPr>
      </w:pPr>
      <w:r>
        <w:rPr>
          <w:rFonts w:ascii="Arial" w:cs="Arial" w:eastAsia="Arial" w:hAnsi="Arial"/>
          <w:sz w:val="16"/>
          <w:szCs w:val="16"/>
          <w:color w:val="auto"/>
        </w:rPr>
        <w:t>On July 13, 2021, Nippon Shinyaku Co., Ltd. (“Nippon Shinyaku” or “NS”) filed a lawsuit against the Company in the U.S. District Court for the District of Delaware. NS asserts a claim for breach of contract arising from Sarepta filing seven petitions for Inter Partes Review (“IPR Petitions”) with the Patent Trial and Appeal Board at the USPTO (PTAB Case Nos. IPR2021-01134, IPR2021-01135, IPR2021-01136, IPR2021-01137, IPR2021-01138, IPR2021-01139, IPR2021-01140) in which Sarepta is seeking to invalidate certain NS patents concerning exon 53 skipping technology (U.S. Patent Nos. 9,708,361, 10,385,092, 10,407,461, 10,487,106, 10,647,741, 10,662,217, and 10,683,322, respectively, and collectively the “NS Patents”). In addition, NS asserts claims for patent infringement and willful infringement of each of the NS Patents arising from Sarepta’s alleged activities concerning, including the sale of, its exon 53 skipping product, VYONDYS 53 (golodirsen). NS further seeks a determination of non-infringement by NS arising from NS’s alleged activities concerning, including the sale of, its exon 53 skipping product, Viltepso (viltolarsen) and invalidity of certain patents licensed to the Company from UWA (U.S. Patent Nos. 9,994,851, 10,227,590, and 10,266,827, collectively the “UWA Patents”). NS is seeking legal fees and costs, an unspecified amount of monetary relief (treble damages) attributed to Sarepta’s alleged infringement, and such other relief as the court deems just and proper. NS filed a motion for preliminary injunction solely seeking Sarepta’s withdrawal of the IPR Petitions. The district court denied NS’ motion for preliminary injunction on September 24, 2021, and the U.S. Court of Appeals for the Federal Circuit reversed and remanded the district court on February 8, 2022. The deadline for the Company to seek rehearing of the Federal Circuit decision is March 10, 2022. In January 2022, the PTAB granted institution of all claims of all NS Patents in response to Sarepta’s IPR Petitions and determined that Sarepta has demonstrated a reasonable likelihood of success in proving that the NS Patents are unpatentable. On December 27, 2021, the district court partially granted and denied the motion to dismiss by Sarepta and ordered NS to file a Second Amended Complaint (“SAC”), which it did on January 14, 2022. In the SAC, NS maintains all claims of the original complaint of July 13, 2021, except a determination of non-infringement of the UWA Patents. On January 28, 2022, Sarepta filed its answer to the SAC, with defenses and counterclaims against NS and NS Pharma Inc. that include infringement of the UWA Patents arising from their alleged activities concerning, including the sale of, its exon 53 skipping product, Viltepso (viltolarsen) and breach of contract. Sarepta is also seeking a determination of invalidity of the NS Patents. Sarepta is seeking an award of relief in its defenses to NS’ allegations, a judgment of breach of contract, a determination of invalidity of the NS Patents, a judgment of infringement and willful infringement of the UWA Patents, legal fees and costs, an unspecified amount of monetary relief (treble damages) attributed to NS’ alleged infringement, and such other relief as the court deems just and proper. Case scheduling in district court, including a trial date, will follow.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color w:val="auto"/>
        </w:rPr>
        <w:t>DocuSign Envelope ID: D9277ED3-955A-426C-B021-BDA2E6B1CB05</w:t>
      </w:r>
    </w:p>
    <w:p>
      <w:pPr>
        <w:jc w:val="right"/>
        <w:spacing w:after="0"/>
        <w:rPr>
          <w:sz w:val="20"/>
          <w:szCs w:val="20"/>
          <w:color w:val="auto"/>
        </w:rPr>
      </w:pPr>
      <w:r>
        <w:rPr>
          <w:rFonts w:ascii="Arial" w:cs="Arial" w:eastAsia="Arial" w:hAnsi="Arial"/>
          <w:sz w:val="20"/>
          <w:szCs w:val="20"/>
          <w:color w:val="auto"/>
        </w:rPr>
        <w:t>Exhibit 10.62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SIXTH AMENDMENT TO LICENSE, COLLABORATION, AND OPTION AGREEMENT</w:t>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This SIXTH AMENDMENT TO LICENSE, COLLABORATION, AND OPTION AGREEMENT (this</w:t>
      </w:r>
    </w:p>
    <w:p>
      <w:pPr>
        <w:spacing w:after="0" w:line="2" w:lineRule="exact"/>
        <w:rPr>
          <w:sz w:val="20"/>
          <w:szCs w:val="20"/>
          <w:color w:val="auto"/>
        </w:rPr>
      </w:pPr>
    </w:p>
    <w:p>
      <w:pPr>
        <w:jc w:val="both"/>
        <w:ind w:left="1240" w:right="12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Sixth Amendment</w:t>
      </w:r>
      <w:r>
        <w:rPr>
          <w:rFonts w:ascii="Arial" w:cs="Arial" w:eastAsia="Arial" w:hAnsi="Arial"/>
          <w:sz w:val="20"/>
          <w:szCs w:val="20"/>
          <w:color w:val="auto"/>
        </w:rPr>
        <w:t>”) is made and entered into as of November 30, 2021 (the “</w:t>
      </w:r>
      <w:r>
        <w:rPr>
          <w:rFonts w:ascii="Arial" w:cs="Arial" w:eastAsia="Arial" w:hAnsi="Arial"/>
          <w:sz w:val="20"/>
          <w:szCs w:val="20"/>
          <w:b w:val="1"/>
          <w:bCs w:val="1"/>
          <w:color w:val="auto"/>
        </w:rPr>
        <w:t>Sixth Amendment Effective Date</w:t>
      </w:r>
      <w:r>
        <w:rPr>
          <w:rFonts w:ascii="Arial" w:cs="Arial" w:eastAsia="Arial" w:hAnsi="Arial"/>
          <w:sz w:val="20"/>
          <w:szCs w:val="20"/>
          <w:color w:val="auto"/>
        </w:rPr>
        <w:t>”) between Sarepta Therapeutics Three LLC, a limited liability company organized and existing under the laws of the State of Delaware, United States of America, with its principal offices at 215 First Street, Cambridge, MA, 02142 (“</w:t>
      </w:r>
      <w:r>
        <w:rPr>
          <w:rFonts w:ascii="Arial" w:cs="Arial" w:eastAsia="Arial" w:hAnsi="Arial"/>
          <w:sz w:val="20"/>
          <w:szCs w:val="20"/>
          <w:b w:val="1"/>
          <w:bCs w:val="1"/>
          <w:color w:val="auto"/>
        </w:rPr>
        <w:t>Sarepta</w:t>
      </w:r>
      <w:r>
        <w:rPr>
          <w:rFonts w:ascii="Arial" w:cs="Arial" w:eastAsia="Arial" w:hAnsi="Arial"/>
          <w:sz w:val="20"/>
          <w:szCs w:val="20"/>
          <w:color w:val="auto"/>
        </w:rPr>
        <w:t>”) and F. Hoffmann-La Roche Ltd, a company organized and existing under the laws of Switzerland, with its principal office at Grenzacherstrasse 124, 4070 Basel, Switzerland (“</w:t>
      </w:r>
      <w:r>
        <w:rPr>
          <w:rFonts w:ascii="Arial" w:cs="Arial" w:eastAsia="Arial" w:hAnsi="Arial"/>
          <w:sz w:val="20"/>
          <w:szCs w:val="20"/>
          <w:b w:val="1"/>
          <w:bCs w:val="1"/>
          <w:color w:val="auto"/>
        </w:rPr>
        <w:t>Roche</w:t>
      </w:r>
      <w:r>
        <w:rPr>
          <w:rFonts w:ascii="Arial" w:cs="Arial" w:eastAsia="Arial" w:hAnsi="Arial"/>
          <w:sz w:val="20"/>
          <w:szCs w:val="20"/>
          <w:color w:val="auto"/>
        </w:rPr>
        <w:t>”). Sarepta and Roche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jc w:val="both"/>
        <w:ind w:left="1240" w:right="120"/>
        <w:spacing w:after="0" w:line="246" w:lineRule="auto"/>
        <w:rPr>
          <w:sz w:val="20"/>
          <w:szCs w:val="20"/>
          <w:color w:val="auto"/>
        </w:rPr>
      </w:pPr>
      <w:r>
        <w:rPr>
          <w:rFonts w:ascii="Arial" w:cs="Arial" w:eastAsia="Arial" w:hAnsi="Arial"/>
          <w:sz w:val="20"/>
          <w:szCs w:val="20"/>
          <w:color w:val="auto"/>
        </w:rPr>
        <w:t>WHEREAS, Sarepta and Roche entered into that certain License, Collaboration, and Option Agreement executed on December 21, 2019 and effective as of February 4, 2020 and amended October 23, 2020,</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October 28, 2020, February 4, 2021, June 23, 2021, and August 31, 2021 (the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 WHEREAS, the</w:t>
      </w:r>
    </w:p>
    <w:p>
      <w:pPr>
        <w:spacing w:after="0" w:line="245"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Parties desire to make certain further amendments to the Original Agreement;</w:t>
      </w:r>
    </w:p>
    <w:p>
      <w:pPr>
        <w:spacing w:after="0" w:line="108" w:lineRule="exact"/>
        <w:rPr>
          <w:sz w:val="20"/>
          <w:szCs w:val="20"/>
          <w:color w:val="auto"/>
        </w:rPr>
      </w:pPr>
    </w:p>
    <w:p>
      <w:pPr>
        <w:jc w:val="both"/>
        <w:ind w:left="1240" w:right="120"/>
        <w:spacing w:after="0" w:line="260" w:lineRule="auto"/>
        <w:rPr>
          <w:sz w:val="20"/>
          <w:szCs w:val="20"/>
          <w:color w:val="auto"/>
        </w:rPr>
      </w:pPr>
      <w:r>
        <w:rPr>
          <w:rFonts w:ascii="Arial" w:cs="Arial" w:eastAsia="Arial" w:hAnsi="Arial"/>
          <w:sz w:val="20"/>
          <w:szCs w:val="20"/>
          <w:color w:val="auto"/>
        </w:rPr>
        <w:t>NOW, THEREFORE, in consideration of the promises and covenants contained in this Amendment, and intending to be legally bound, the Parties hereby agree as follows:</w:t>
      </w:r>
    </w:p>
    <w:p>
      <w:pPr>
        <w:spacing w:after="0" w:line="177" w:lineRule="exact"/>
        <w:rPr>
          <w:sz w:val="20"/>
          <w:szCs w:val="20"/>
          <w:color w:val="auto"/>
        </w:rPr>
      </w:pPr>
    </w:p>
    <w:p>
      <w:pPr>
        <w:jc w:val="both"/>
        <w:ind w:left="1600" w:right="120" w:hanging="364"/>
        <w:spacing w:after="0" w:line="237" w:lineRule="auto"/>
        <w:tabs>
          <w:tab w:leader="none" w:pos="160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Capitalized terms not defined in this Sixth Amendment have the meanings given such terms in the Original Agreement. References to Sections and Schedules herein will be to Sections and Schedules of the Original Agreement, except as otherwise noted.</w:t>
      </w:r>
    </w:p>
    <w:p>
      <w:pPr>
        <w:spacing w:after="0" w:line="196" w:lineRule="exact"/>
        <w:rPr>
          <w:rFonts w:ascii="Arial" w:cs="Arial" w:eastAsia="Arial" w:hAnsi="Arial"/>
          <w:sz w:val="20"/>
          <w:szCs w:val="20"/>
          <w:color w:val="auto"/>
        </w:rPr>
      </w:pPr>
    </w:p>
    <w:p>
      <w:pPr>
        <w:ind w:left="1620" w:hanging="384"/>
        <w:spacing w:after="0"/>
        <w:tabs>
          <w:tab w:leader="none" w:pos="162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980"/>
        <w:spacing w:after="0"/>
        <w:rPr>
          <w:rFonts w:ascii="Arial" w:cs="Arial" w:eastAsia="Arial" w:hAnsi="Arial"/>
          <w:sz w:val="20"/>
          <w:szCs w:val="20"/>
          <w:color w:val="auto"/>
        </w:rPr>
      </w:pPr>
      <w:r>
        <w:rPr>
          <w:rFonts w:ascii="Arial" w:cs="Arial" w:eastAsia="Arial" w:hAnsi="Arial"/>
          <w:sz w:val="20"/>
          <w:szCs w:val="20"/>
          <w:color w:val="auto"/>
        </w:rPr>
        <w:t>a.   Section 8.6.1 shall be deleted and replaced by the following:</w:t>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 xml:space="preserve">Development Supply Agreement. </w:t>
      </w:r>
      <w:r>
        <w:rPr>
          <w:rFonts w:ascii="Arial" w:cs="Arial" w:eastAsia="Arial" w:hAnsi="Arial"/>
          <w:sz w:val="20"/>
          <w:szCs w:val="20"/>
          <w:color w:val="auto"/>
        </w:rPr>
        <w:t>Unless otherwise agreed by the Parties, no later than</w:t>
      </w:r>
    </w:p>
    <w:p>
      <w:pPr>
        <w:spacing w:after="0" w:line="22" w:lineRule="exact"/>
        <w:rPr>
          <w:sz w:val="20"/>
          <w:szCs w:val="20"/>
          <w:color w:val="auto"/>
        </w:rPr>
      </w:pPr>
    </w:p>
    <w:p>
      <w:pPr>
        <w:jc w:val="both"/>
        <w:ind w:left="2740" w:right="120"/>
        <w:spacing w:after="0" w:line="254" w:lineRule="auto"/>
        <w:rPr>
          <w:sz w:val="20"/>
          <w:szCs w:val="20"/>
          <w:color w:val="auto"/>
        </w:rPr>
      </w:pPr>
      <w:r>
        <w:rPr>
          <w:rFonts w:ascii="Arial" w:cs="Arial" w:eastAsia="Arial" w:hAnsi="Arial"/>
          <w:sz w:val="18"/>
          <w:szCs w:val="18"/>
          <w:color w:val="auto"/>
        </w:rPr>
        <w:t xml:space="preserve">(a)January 31, 2022, with regards to the Lead Product, and (b) no later than nine months following the effective date of exercise of the Option with regards to every other Licensed Product to which this Article 8 (Manufacturing and Supply) applies in accordance with Section 8.1, (or such other time as agreed by each Party), the Parties will negotiate in good faith and enter into a supply agreement on reasonable and customary terms for the supply of such Licensed Product by Sarepta to Roche in the Roche Territory at the Supply Price (the </w:t>
      </w:r>
      <w:r>
        <w:rPr>
          <w:rFonts w:ascii="Arial" w:cs="Arial" w:eastAsia="Arial" w:hAnsi="Arial"/>
          <w:sz w:val="18"/>
          <w:szCs w:val="18"/>
          <w:b w:val="1"/>
          <w:bCs w:val="1"/>
          <w:color w:val="auto"/>
        </w:rPr>
        <w:t>“Development Supply Agreement</w:t>
      </w:r>
      <w:r>
        <w:rPr>
          <w:rFonts w:ascii="Arial" w:cs="Arial" w:eastAsia="Arial" w:hAnsi="Arial"/>
          <w:sz w:val="18"/>
          <w:szCs w:val="18"/>
          <w:color w:val="auto"/>
        </w:rPr>
        <w:t>”), and a related quality agreement, which agreements will govern the terms and conditions of the Manufacturing of such Licensed Product for Development purposes. The Parties may choose to combine into a single agreement the Development Supply Agreement and the Commercial Supply Agreement for a Licensed Product.</w:t>
      </w:r>
    </w:p>
    <w:p>
      <w:pPr>
        <w:spacing w:after="0" w:line="172" w:lineRule="exact"/>
        <w:rPr>
          <w:sz w:val="20"/>
          <w:szCs w:val="20"/>
          <w:color w:val="auto"/>
        </w:rPr>
      </w:pPr>
    </w:p>
    <w:p>
      <w:pPr>
        <w:ind w:left="2460" w:hanging="475"/>
        <w:spacing w:after="0"/>
        <w:tabs>
          <w:tab w:leader="none" w:pos="24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Section 8.6.2 shall be deleted and replaced by the following:</w:t>
      </w:r>
    </w:p>
    <w:p>
      <w:pPr>
        <w:spacing w:after="0" w:line="183"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Commercial Supply Agreement</w:t>
      </w:r>
      <w:r>
        <w:rPr>
          <w:rFonts w:ascii="Arial" w:cs="Arial" w:eastAsia="Arial" w:hAnsi="Arial"/>
          <w:sz w:val="20"/>
          <w:szCs w:val="20"/>
          <w:color w:val="auto"/>
        </w:rPr>
        <w:t>. Unless otherwise agreed by the Parties, no later  than</w:t>
      </w:r>
    </w:p>
    <w:p>
      <w:pPr>
        <w:spacing w:after="0" w:line="26" w:lineRule="exact"/>
        <w:rPr>
          <w:sz w:val="20"/>
          <w:szCs w:val="20"/>
          <w:color w:val="auto"/>
        </w:rPr>
      </w:pPr>
    </w:p>
    <w:p>
      <w:pPr>
        <w:jc w:val="both"/>
        <w:ind w:left="2740" w:right="120"/>
        <w:spacing w:after="0" w:line="252" w:lineRule="auto"/>
        <w:rPr>
          <w:sz w:val="20"/>
          <w:szCs w:val="20"/>
          <w:color w:val="auto"/>
        </w:rPr>
      </w:pPr>
      <w:r>
        <w:rPr>
          <w:rFonts w:ascii="Arial" w:cs="Arial" w:eastAsia="Arial" w:hAnsi="Arial"/>
          <w:sz w:val="20"/>
          <w:szCs w:val="20"/>
          <w:color w:val="auto"/>
        </w:rPr>
        <w:t>(a)January 31, 2022, with regards to the Lead Product, and (b) no later than twelve (12) months following the effective date of the Option Exercise with regards to every other Licensed Product to which this Article 8 (Manufacturing and Supply) applies in accordance with Section 8.1, (or such other time as agreed by each Party), the Parties will negotiate in good faith and enter into a commercial supply agreement on reasonable and customary terms for the commercial-grade supply of such Licensed Product by Sarepta to Roche in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DocuSign Envelope ID: D9277ED3-955A-426C-B021-BDA2E6B1CB05</w:t>
      </w:r>
    </w:p>
    <w:p>
      <w:pPr>
        <w:spacing w:after="0" w:line="11" w:lineRule="exact"/>
        <w:rPr>
          <w:sz w:val="20"/>
          <w:szCs w:val="20"/>
          <w:color w:val="auto"/>
        </w:rPr>
      </w:pPr>
    </w:p>
    <w:p>
      <w:pPr>
        <w:jc w:val="right"/>
        <w:ind w:right="699"/>
        <w:spacing w:after="0"/>
        <w:rPr>
          <w:sz w:val="20"/>
          <w:szCs w:val="20"/>
          <w:color w:val="auto"/>
        </w:rPr>
      </w:pPr>
      <w:r>
        <w:rPr>
          <w:rFonts w:ascii="Arial" w:cs="Arial" w:eastAsia="Arial" w:hAnsi="Arial"/>
          <w:sz w:val="20"/>
          <w:szCs w:val="20"/>
          <w:color w:val="auto"/>
        </w:rPr>
        <w:t>the Roche Territory at the Supply Price (the “</w:t>
      </w:r>
      <w:r>
        <w:rPr>
          <w:rFonts w:ascii="Arial" w:cs="Arial" w:eastAsia="Arial" w:hAnsi="Arial"/>
          <w:sz w:val="20"/>
          <w:szCs w:val="20"/>
          <w:b w:val="1"/>
          <w:bCs w:val="1"/>
          <w:color w:val="auto"/>
        </w:rPr>
        <w:t>Commercial Supply Agreement</w:t>
      </w:r>
      <w:r>
        <w:rPr>
          <w:rFonts w:ascii="Arial" w:cs="Arial" w:eastAsia="Arial" w:hAnsi="Arial"/>
          <w:sz w:val="20"/>
          <w:szCs w:val="20"/>
          <w:color w:val="auto"/>
        </w:rPr>
        <w:t>” and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 w:right="1440"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DocuSign Envelope ID: D9277ED3-955A-426C-B021-BDA2E6B1CB05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2740"/>
        <w:spacing w:after="0" w:line="260" w:lineRule="auto"/>
        <w:rPr>
          <w:sz w:val="20"/>
          <w:szCs w:val="20"/>
          <w:color w:val="auto"/>
        </w:rPr>
      </w:pPr>
      <w:r>
        <w:rPr>
          <w:rFonts w:ascii="Arial" w:cs="Arial" w:eastAsia="Arial" w:hAnsi="Arial"/>
          <w:sz w:val="20"/>
          <w:szCs w:val="20"/>
          <w:color w:val="auto"/>
        </w:rPr>
        <w:t>together with the Development Supply Agreement, the “</w:t>
      </w:r>
      <w:r>
        <w:rPr>
          <w:rFonts w:ascii="Arial" w:cs="Arial" w:eastAsia="Arial" w:hAnsi="Arial"/>
          <w:sz w:val="20"/>
          <w:szCs w:val="20"/>
          <w:b w:val="1"/>
          <w:bCs w:val="1"/>
          <w:color w:val="auto"/>
        </w:rPr>
        <w:t>Supply Agreements</w:t>
      </w:r>
      <w:r>
        <w:rPr>
          <w:rFonts w:ascii="Arial" w:cs="Arial" w:eastAsia="Arial" w:hAnsi="Arial"/>
          <w:sz w:val="20"/>
          <w:szCs w:val="20"/>
          <w:color w:val="auto"/>
        </w:rPr>
        <w:t>”), and a related quality agreement, which agreements will govern the terms and conditions of the Manufacturing and supply of such Licensed Product for Commercialization purposes. As noted above, the Parties may choose to combine into a single agreement the Development Supply Agreement and the Commercial Supply Agreement for a Licensed Product,</w:t>
      </w:r>
    </w:p>
    <w:p>
      <w:pPr>
        <w:spacing w:after="0" w:line="124" w:lineRule="exact"/>
        <w:rPr>
          <w:sz w:val="20"/>
          <w:szCs w:val="20"/>
          <w:color w:val="auto"/>
        </w:rPr>
      </w:pPr>
    </w:p>
    <w:p>
      <w:pPr>
        <w:jc w:val="both"/>
        <w:ind w:left="1600" w:hanging="364"/>
        <w:spacing w:after="0" w:line="275" w:lineRule="auto"/>
        <w:tabs>
          <w:tab w:leader="none" w:pos="160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Effect on Original Agreement</w:t>
      </w:r>
      <w:r>
        <w:rPr>
          <w:rFonts w:ascii="Arial" w:cs="Arial" w:eastAsia="Arial" w:hAnsi="Arial"/>
          <w:sz w:val="19"/>
          <w:szCs w:val="19"/>
          <w:color w:val="auto"/>
        </w:rPr>
        <w:t>. Except as specifically amended by this Sixth Amendment, the Original Agreement will remain in full force and effect and is hereby ratified and confirmed. Each future reference to the Original Agreement will refer to the Original Agreement as amended by this Sixth Amendment. To the extent a conflict arises between the terms of the Original Agreement and this Sixth Amendment, the terms of this Sixth Amendment shall prevail but only to the extent necessary to accomplish their intended purpose.</w:t>
      </w:r>
    </w:p>
    <w:p>
      <w:pPr>
        <w:spacing w:after="0" w:line="179" w:lineRule="exact"/>
        <w:rPr>
          <w:rFonts w:ascii="Arial" w:cs="Arial" w:eastAsia="Arial" w:hAnsi="Arial"/>
          <w:sz w:val="19"/>
          <w:szCs w:val="19"/>
          <w:color w:val="auto"/>
        </w:rPr>
      </w:pPr>
    </w:p>
    <w:p>
      <w:pPr>
        <w:ind w:left="1600" w:hanging="364"/>
        <w:spacing w:after="0"/>
        <w:tabs>
          <w:tab w:leader="none" w:pos="160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Incorporation</w:t>
      </w:r>
      <w:r>
        <w:rPr>
          <w:rFonts w:ascii="Arial" w:cs="Arial" w:eastAsia="Arial" w:hAnsi="Arial"/>
          <w:sz w:val="19"/>
          <w:szCs w:val="19"/>
          <w:color w:val="auto"/>
        </w:rPr>
        <w:t xml:space="preserve">. Article 17 of the Original Agreement is hereby incorporated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into this Amendment.</w:t>
      </w:r>
    </w:p>
    <w:p>
      <w:pPr>
        <w:spacing w:after="0" w:line="267" w:lineRule="exact"/>
        <w:rPr>
          <w:rFonts w:ascii="Arial" w:cs="Arial" w:eastAsia="Arial" w:hAnsi="Arial"/>
          <w:sz w:val="19"/>
          <w:szCs w:val="19"/>
          <w:color w:val="auto"/>
        </w:rPr>
      </w:pPr>
    </w:p>
    <w:p>
      <w:pPr>
        <w:ind w:left="1600" w:hanging="364"/>
        <w:spacing w:after="0" w:line="274" w:lineRule="auto"/>
        <w:tabs>
          <w:tab w:leader="none" w:pos="16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Sixth Amendment will be binding upon and inure to the benefit of the Parties and their respective permitted successors and assigns.</w:t>
      </w:r>
    </w:p>
    <w:p>
      <w:pPr>
        <w:spacing w:after="0" w:line="190" w:lineRule="exact"/>
        <w:rPr>
          <w:rFonts w:ascii="Arial" w:cs="Arial" w:eastAsia="Arial" w:hAnsi="Arial"/>
          <w:sz w:val="20"/>
          <w:szCs w:val="20"/>
          <w:color w:val="auto"/>
        </w:rPr>
      </w:pPr>
    </w:p>
    <w:p>
      <w:pPr>
        <w:ind w:left="1620" w:hanging="384"/>
        <w:spacing w:after="0"/>
        <w:tabs>
          <w:tab w:leader="none" w:pos="162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As of the Sixth Amendment Effective Date, each Party hereby represents and warrants that</w:t>
      </w:r>
    </w:p>
    <w:p>
      <w:pPr>
        <w:spacing w:after="0" w:line="20" w:lineRule="exact"/>
        <w:rPr>
          <w:rFonts w:ascii="Arial" w:cs="Arial" w:eastAsia="Arial" w:hAnsi="Arial"/>
          <w:sz w:val="20"/>
          <w:szCs w:val="20"/>
          <w:color w:val="auto"/>
        </w:rPr>
      </w:pPr>
    </w:p>
    <w:p>
      <w:pPr>
        <w:jc w:val="both"/>
        <w:ind w:left="1600" w:firstLine="10"/>
        <w:spacing w:after="0" w:line="275" w:lineRule="auto"/>
        <w:tabs>
          <w:tab w:leader="none" w:pos="1907" w:val="left"/>
        </w:tabs>
        <w:numPr>
          <w:ilvl w:val="1"/>
          <w:numId w:val="85"/>
        </w:numPr>
        <w:rPr>
          <w:rFonts w:ascii="Arial" w:cs="Arial" w:eastAsia="Arial" w:hAnsi="Arial"/>
          <w:sz w:val="19"/>
          <w:szCs w:val="19"/>
          <w:color w:val="auto"/>
        </w:rPr>
      </w:pPr>
      <w:r>
        <w:rPr>
          <w:rFonts w:ascii="Arial" w:cs="Arial" w:eastAsia="Arial" w:hAnsi="Arial"/>
          <w:sz w:val="19"/>
          <w:szCs w:val="19"/>
          <w:color w:val="auto"/>
        </w:rPr>
        <w:t>it has the power and authority to execute and deliver this Sixth Amendment, (b) the execution, delivery, and performance of this Sixth Amendment by it has been duly authorized by all requisite corporate action, and (c) this Sixth Amendment has been duly executed and delivered on behalf of such Party and constitutes a legal, valid, and binding obligation of such Party and is enforceable against it in accordance with its terms.</w:t>
      </w:r>
    </w:p>
    <w:p>
      <w:pPr>
        <w:spacing w:after="0" w:line="206" w:lineRule="exact"/>
        <w:rPr>
          <w:rFonts w:ascii="Arial" w:cs="Arial" w:eastAsia="Arial" w:hAnsi="Arial"/>
          <w:sz w:val="19"/>
          <w:szCs w:val="19"/>
          <w:color w:val="auto"/>
        </w:rPr>
      </w:pPr>
    </w:p>
    <w:p>
      <w:pPr>
        <w:jc w:val="both"/>
        <w:ind w:left="1600" w:hanging="364"/>
        <w:spacing w:after="0" w:line="264" w:lineRule="auto"/>
        <w:tabs>
          <w:tab w:leader="none" w:pos="16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Sixth Amendment and all amendments, modifications, alterations, or supplements hereto, and the rights of the Parties, will be construed under and governed by the laws of the State of New York, United States, exclusive of its conflicts of laws principles.</w:t>
      </w:r>
    </w:p>
    <w:p>
      <w:pPr>
        <w:spacing w:after="0" w:line="186" w:lineRule="exact"/>
        <w:rPr>
          <w:rFonts w:ascii="Arial" w:cs="Arial" w:eastAsia="Arial" w:hAnsi="Arial"/>
          <w:sz w:val="20"/>
          <w:szCs w:val="20"/>
          <w:color w:val="auto"/>
        </w:rPr>
      </w:pPr>
    </w:p>
    <w:p>
      <w:pPr>
        <w:ind w:left="1600" w:right="20" w:hanging="364"/>
        <w:spacing w:after="0" w:line="260" w:lineRule="auto"/>
        <w:tabs>
          <w:tab w:leader="none" w:pos="16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This Sixth Amendment may not be modified or amended, except by another agreement in writing executed by duly authorized signatories of each Party.</w:t>
      </w:r>
    </w:p>
    <w:p>
      <w:pPr>
        <w:spacing w:after="0" w:line="217" w:lineRule="exact"/>
        <w:rPr>
          <w:rFonts w:ascii="Arial" w:cs="Arial" w:eastAsia="Arial" w:hAnsi="Arial"/>
          <w:sz w:val="20"/>
          <w:szCs w:val="20"/>
          <w:color w:val="auto"/>
        </w:rPr>
      </w:pPr>
    </w:p>
    <w:p>
      <w:pPr>
        <w:jc w:val="both"/>
        <w:ind w:left="1600" w:hanging="364"/>
        <w:spacing w:after="0" w:line="258" w:lineRule="auto"/>
        <w:tabs>
          <w:tab w:leader="none" w:pos="16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Sixth Amendment may be executed in two or more counterparts, all of which taken together will be regarded as one and the same instrument. Each Party may execute this Sixth Amendment in Adobe™ Portable Document Format (PDF) sent by electronic mail. PDF signatures of authorized signatories of the Parties will be deemed to be original signatures, will be valid and binding upon the Parties, and, upon delivery, will constitute due execution of this Sixth Amendment.</w:t>
      </w:r>
    </w:p>
    <w:p>
      <w:pPr>
        <w:spacing w:after="0" w:line="208" w:lineRule="exact"/>
        <w:rPr>
          <w:sz w:val="20"/>
          <w:szCs w:val="20"/>
          <w:color w:val="auto"/>
        </w:rPr>
      </w:pPr>
    </w:p>
    <w:p>
      <w:pPr>
        <w:ind w:left="5560"/>
        <w:spacing w:after="0"/>
        <w:rPr>
          <w:sz w:val="20"/>
          <w:szCs w:val="20"/>
          <w:color w:val="auto"/>
        </w:rPr>
      </w:pPr>
      <w:r>
        <w:rPr>
          <w:rFonts w:ascii="Arial" w:cs="Arial" w:eastAsia="Arial" w:hAnsi="Arial"/>
          <w:sz w:val="20"/>
          <w:szCs w:val="20"/>
          <w:i w:val="1"/>
          <w:iCs w:val="1"/>
          <w:color w:val="auto"/>
        </w:rPr>
        <w:t>[Signatures Follow]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0" w:right="80"/>
        <w:spacing w:after="0" w:line="246" w:lineRule="auto"/>
        <w:rPr>
          <w:sz w:val="20"/>
          <w:szCs w:val="20"/>
          <w:color w:val="auto"/>
        </w:rPr>
      </w:pPr>
      <w:r>
        <w:rPr>
          <w:rFonts w:ascii="Arial" w:cs="Arial" w:eastAsia="Arial" w:hAnsi="Arial"/>
          <w:sz w:val="20"/>
          <w:szCs w:val="20"/>
          <w:color w:val="auto"/>
        </w:rPr>
        <w:t>IN WITNESS WHEREOF, the Parties have executed this Sixth Amendment to License, Collaboration, and Option Agreement through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 w:right="45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DocuSign Envelope ID: D9277ED3-955A-426C-B021-BDA2E6B1CB05</w:t>
      </w:r>
    </w:p>
    <w:p>
      <w:pPr>
        <w:ind w:left="1160"/>
        <w:spacing w:after="0"/>
        <w:rPr>
          <w:sz w:val="20"/>
          <w:szCs w:val="20"/>
          <w:color w:val="auto"/>
        </w:rPr>
      </w:pPr>
      <w:r>
        <w:rPr>
          <w:rFonts w:ascii="Arial" w:cs="Arial" w:eastAsia="Arial" w:hAnsi="Arial"/>
          <w:sz w:val="20"/>
          <w:szCs w:val="20"/>
          <w:b w:val="1"/>
          <w:bCs w:val="1"/>
          <w:color w:val="auto"/>
        </w:rPr>
        <w:t>Sarepta Therapeutics Three, LLC</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Adam Hopkin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Adam Hopkin</w:t>
      </w:r>
    </w:p>
    <w:p>
      <w:pPr>
        <w:ind w:left="1160"/>
        <w:spacing w:after="0"/>
        <w:rPr>
          <w:sz w:val="20"/>
          <w:szCs w:val="20"/>
          <w:color w:val="auto"/>
        </w:rPr>
      </w:pPr>
      <w:r>
        <w:rPr>
          <w:rFonts w:ascii="Arial" w:cs="Arial" w:eastAsia="Arial" w:hAnsi="Arial"/>
          <w:sz w:val="20"/>
          <w:szCs w:val="20"/>
          <w:color w:val="auto"/>
        </w:rPr>
        <w:t>Title: Manager</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F. Hoffmann-La Roche Ltd</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Claire Steers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Claire Steers</w:t>
      </w:r>
    </w:p>
    <w:p>
      <w:pPr>
        <w:ind w:left="1160"/>
        <w:spacing w:after="0"/>
        <w:rPr>
          <w:sz w:val="20"/>
          <w:szCs w:val="20"/>
          <w:color w:val="auto"/>
        </w:rPr>
      </w:pPr>
      <w:r>
        <w:rPr>
          <w:rFonts w:ascii="Arial" w:cs="Arial" w:eastAsia="Arial" w:hAnsi="Arial"/>
          <w:sz w:val="20"/>
          <w:szCs w:val="20"/>
          <w:color w:val="auto"/>
        </w:rPr>
        <w:t>Title: Global Alliance Director</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Franziska Baechler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Franziska Baechler</w:t>
      </w:r>
    </w:p>
    <w:p>
      <w:pPr>
        <w:ind w:left="1160"/>
        <w:spacing w:after="0"/>
        <w:rPr>
          <w:sz w:val="20"/>
          <w:szCs w:val="20"/>
          <w:color w:val="auto"/>
        </w:rPr>
      </w:pPr>
      <w:r>
        <w:rPr>
          <w:rFonts w:ascii="Arial" w:cs="Arial" w:eastAsia="Arial" w:hAnsi="Arial"/>
          <w:sz w:val="20"/>
          <w:szCs w:val="20"/>
          <w:color w:val="auto"/>
        </w:rPr>
        <w:t>Title: Attorney-at-Law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079"/>
        <w:spacing w:after="0"/>
        <w:rPr>
          <w:sz w:val="20"/>
          <w:szCs w:val="20"/>
          <w:color w:val="auto"/>
        </w:rPr>
      </w:pPr>
      <w:r>
        <w:rPr>
          <w:rFonts w:ascii="Arial" w:cs="Arial" w:eastAsia="Arial" w:hAnsi="Arial"/>
          <w:sz w:val="20"/>
          <w:szCs w:val="20"/>
          <w:i w:val="1"/>
          <w:iCs w:val="1"/>
          <w:color w:val="auto"/>
        </w:rPr>
        <w:t>[Signature Page To Sixth Amendment To License, Collaboration, and Option Agreement]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 w:right="1440"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DocuSign Envelope ID: EA350C36-E900-4606-87D9-B0A4B2C2E752</w:t>
      </w:r>
    </w:p>
    <w:p>
      <w:pPr>
        <w:spacing w:after="0" w:line="238" w:lineRule="auto"/>
        <w:rPr>
          <w:sz w:val="20"/>
          <w:szCs w:val="20"/>
          <w:color w:val="auto"/>
        </w:rPr>
      </w:pPr>
      <w:r>
        <w:rPr>
          <w:rFonts w:ascii="Arial" w:cs="Arial" w:eastAsia="Arial" w:hAnsi="Arial"/>
          <w:sz w:val="22"/>
          <w:szCs w:val="22"/>
          <w:b w:val="1"/>
          <w:bCs w:val="1"/>
          <w:i w:val="1"/>
          <w:iCs w:val="1"/>
          <w:color w:val="auto"/>
        </w:rPr>
        <w:t>Roche Draft 1/6/2021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10.63</w:t>
      </w:r>
    </w:p>
    <w:p>
      <w:pPr>
        <w:spacing w:after="0" w:line="140"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SEVENTH AMENDMENT TO LICENSE, COLLABORATION, AND OPTION AGREEMENT</w:t>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This SEVENTH AMENDMENT TO LICENSE, COLLABORATION, AND OPTION AGREEMENT</w:t>
      </w:r>
    </w:p>
    <w:p>
      <w:pPr>
        <w:spacing w:after="0" w:line="2" w:lineRule="exact"/>
        <w:rPr>
          <w:sz w:val="20"/>
          <w:szCs w:val="20"/>
          <w:color w:val="auto"/>
        </w:rPr>
      </w:pPr>
    </w:p>
    <w:p>
      <w:pPr>
        <w:ind w:left="1240" w:right="200"/>
        <w:spacing w:after="0" w:line="228" w:lineRule="auto"/>
        <w:rPr>
          <w:sz w:val="20"/>
          <w:szCs w:val="20"/>
          <w:color w:val="auto"/>
        </w:rPr>
      </w:pPr>
      <w:r>
        <w:rPr>
          <w:rFonts w:ascii="Arial" w:cs="Arial" w:eastAsia="Arial" w:hAnsi="Arial"/>
          <w:sz w:val="20"/>
          <w:szCs w:val="20"/>
          <w:color w:val="auto"/>
        </w:rPr>
        <w:t>(this “</w:t>
      </w:r>
      <w:r>
        <w:rPr>
          <w:rFonts w:ascii="Arial" w:cs="Arial" w:eastAsia="Arial" w:hAnsi="Arial"/>
          <w:sz w:val="20"/>
          <w:szCs w:val="20"/>
          <w:b w:val="1"/>
          <w:bCs w:val="1"/>
          <w:color w:val="auto"/>
        </w:rPr>
        <w:t>Seventh Amendment</w:t>
      </w:r>
      <w:r>
        <w:rPr>
          <w:rFonts w:ascii="Arial" w:cs="Arial" w:eastAsia="Arial" w:hAnsi="Arial"/>
          <w:sz w:val="20"/>
          <w:szCs w:val="20"/>
          <w:color w:val="auto"/>
        </w:rPr>
        <w:t>”) is made and entered into as of January 5, 2022 (the “</w:t>
      </w:r>
      <w:r>
        <w:rPr>
          <w:rFonts w:ascii="Arial" w:cs="Arial" w:eastAsia="Arial" w:hAnsi="Arial"/>
          <w:sz w:val="20"/>
          <w:szCs w:val="20"/>
          <w:b w:val="1"/>
          <w:bCs w:val="1"/>
          <w:color w:val="auto"/>
        </w:rPr>
        <w:t>Seventh Amendment Effective Date</w:t>
      </w:r>
      <w:r>
        <w:rPr>
          <w:rFonts w:ascii="Arial" w:cs="Arial" w:eastAsia="Arial" w:hAnsi="Arial"/>
          <w:sz w:val="20"/>
          <w:szCs w:val="20"/>
          <w:color w:val="auto"/>
        </w:rPr>
        <w:t>”) between Sarepta Therapeutics Three LLC, a limited liability company organized and existing under the laws of the State of Delaware, United States of America, with its principal offices at 215 First Street, Cambridge, MA, 02142 (“</w:t>
      </w:r>
      <w:r>
        <w:rPr>
          <w:rFonts w:ascii="Arial" w:cs="Arial" w:eastAsia="Arial" w:hAnsi="Arial"/>
          <w:sz w:val="20"/>
          <w:szCs w:val="20"/>
          <w:b w:val="1"/>
          <w:bCs w:val="1"/>
          <w:color w:val="auto"/>
        </w:rPr>
        <w:t>Sarepta</w:t>
      </w:r>
      <w:r>
        <w:rPr>
          <w:rFonts w:ascii="Arial" w:cs="Arial" w:eastAsia="Arial" w:hAnsi="Arial"/>
          <w:sz w:val="20"/>
          <w:szCs w:val="20"/>
          <w:color w:val="auto"/>
        </w:rPr>
        <w:t>”) and F. Hoffmann-La Roche Ltd, a company organized and existing under the laws of Switzerland, with its principal office at Grenzacherstrasse 124, 4070 Basel, Switzerland (“</w:t>
      </w:r>
      <w:r>
        <w:rPr>
          <w:rFonts w:ascii="Arial" w:cs="Arial" w:eastAsia="Arial" w:hAnsi="Arial"/>
          <w:sz w:val="20"/>
          <w:szCs w:val="20"/>
          <w:b w:val="1"/>
          <w:bCs w:val="1"/>
          <w:color w:val="auto"/>
        </w:rPr>
        <w:t>Roche</w:t>
      </w:r>
      <w:r>
        <w:rPr>
          <w:rFonts w:ascii="Arial" w:cs="Arial" w:eastAsia="Arial" w:hAnsi="Arial"/>
          <w:sz w:val="20"/>
          <w:szCs w:val="20"/>
          <w:color w:val="auto"/>
        </w:rPr>
        <w:t>”). Sarepta and Roche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ind w:left="1240" w:right="1760"/>
        <w:spacing w:after="0" w:line="246" w:lineRule="auto"/>
        <w:rPr>
          <w:sz w:val="20"/>
          <w:szCs w:val="20"/>
          <w:color w:val="auto"/>
        </w:rPr>
      </w:pPr>
      <w:r>
        <w:rPr>
          <w:rFonts w:ascii="Arial" w:cs="Arial" w:eastAsia="Arial" w:hAnsi="Arial"/>
          <w:sz w:val="20"/>
          <w:szCs w:val="20"/>
          <w:color w:val="auto"/>
        </w:rPr>
        <w:t>WHEREAS, Sarepta and Roche entered into that certain License, Collaboration, and Option Agreement dated December 21, 2019 (the “</w:t>
      </w:r>
      <w:r>
        <w:rPr>
          <w:rFonts w:ascii="Arial" w:cs="Arial" w:eastAsia="Arial" w:hAnsi="Arial"/>
          <w:sz w:val="20"/>
          <w:szCs w:val="20"/>
          <w:b w:val="1"/>
          <w:bCs w:val="1"/>
          <w:color w:val="auto"/>
        </w:rPr>
        <w:t>Original Agreement</w:t>
      </w:r>
      <w:r>
        <w:rPr>
          <w:rFonts w:ascii="Arial" w:cs="Arial" w:eastAsia="Arial" w:hAnsi="Arial"/>
          <w:sz w:val="20"/>
          <w:szCs w:val="20"/>
          <w:color w:val="auto"/>
        </w:rPr>
        <w:t>”); and</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WHEREAS, the Parties desire to make certain amendments to the Original Agreement;</w:t>
      </w:r>
    </w:p>
    <w:p>
      <w:pPr>
        <w:spacing w:after="0" w:line="216" w:lineRule="exact"/>
        <w:rPr>
          <w:sz w:val="20"/>
          <w:szCs w:val="20"/>
          <w:color w:val="auto"/>
        </w:rPr>
      </w:pPr>
    </w:p>
    <w:p>
      <w:pPr>
        <w:ind w:left="1240" w:right="460"/>
        <w:spacing w:after="0" w:line="246" w:lineRule="auto"/>
        <w:rPr>
          <w:sz w:val="20"/>
          <w:szCs w:val="20"/>
          <w:color w:val="auto"/>
        </w:rPr>
      </w:pPr>
      <w:r>
        <w:rPr>
          <w:rFonts w:ascii="Arial" w:cs="Arial" w:eastAsia="Arial" w:hAnsi="Arial"/>
          <w:sz w:val="20"/>
          <w:szCs w:val="20"/>
          <w:color w:val="auto"/>
        </w:rPr>
        <w:t>NOW, THEREFORE, in consideration of the promises and covenants contained in this Amendment, and intending to be legally bound, the Parties hereby agree as follows:</w:t>
      </w:r>
    </w:p>
    <w:p>
      <w:pPr>
        <w:spacing w:after="0" w:line="177" w:lineRule="exact"/>
        <w:rPr>
          <w:sz w:val="20"/>
          <w:szCs w:val="20"/>
          <w:color w:val="auto"/>
        </w:rPr>
      </w:pPr>
    </w:p>
    <w:p>
      <w:pPr>
        <w:jc w:val="both"/>
        <w:ind w:left="1600" w:right="460" w:hanging="364"/>
        <w:spacing w:after="0" w:line="237" w:lineRule="auto"/>
        <w:tabs>
          <w:tab w:leader="none" w:pos="160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Capitalized terms not defined in this Seventh Amendment have the meanings given such terms in the Original Agreement. References to Sections and Schedules herein will be to Sections and Schedules of the Original Agreement, except as otherwise noted.</w:t>
      </w:r>
    </w:p>
    <w:p>
      <w:pPr>
        <w:spacing w:after="0" w:line="196" w:lineRule="exact"/>
        <w:rPr>
          <w:rFonts w:ascii="Arial" w:cs="Arial" w:eastAsia="Arial" w:hAnsi="Arial"/>
          <w:sz w:val="20"/>
          <w:szCs w:val="20"/>
          <w:color w:val="auto"/>
        </w:rPr>
      </w:pPr>
    </w:p>
    <w:p>
      <w:pPr>
        <w:ind w:left="1620" w:hanging="384"/>
        <w:spacing w:after="0"/>
        <w:tabs>
          <w:tab w:leader="none" w:pos="162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600"/>
        <w:spacing w:after="0"/>
        <w:rPr>
          <w:rFonts w:ascii="Arial" w:cs="Arial" w:eastAsia="Arial" w:hAnsi="Arial"/>
          <w:sz w:val="20"/>
          <w:szCs w:val="20"/>
          <w:color w:val="auto"/>
        </w:rPr>
      </w:pPr>
      <w:r>
        <w:rPr>
          <w:rFonts w:ascii="Arial" w:cs="Arial" w:eastAsia="Arial" w:hAnsi="Arial"/>
          <w:sz w:val="20"/>
          <w:szCs w:val="20"/>
          <w:color w:val="auto"/>
        </w:rPr>
        <w:t>Section 4.1 is hereby deleted in its entirety and replaced with the following:</w:t>
      </w:r>
    </w:p>
    <w:p>
      <w:pPr>
        <w:spacing w:after="0" w:line="215" w:lineRule="exact"/>
        <w:rPr>
          <w:rFonts w:ascii="Arial" w:cs="Arial" w:eastAsia="Arial" w:hAnsi="Arial"/>
          <w:sz w:val="20"/>
          <w:szCs w:val="20"/>
          <w:color w:val="auto"/>
        </w:rPr>
      </w:pPr>
    </w:p>
    <w:p>
      <w:pPr>
        <w:ind w:left="1600" w:right="240"/>
        <w:spacing w:after="0" w:line="230" w:lineRule="auto"/>
        <w:rPr>
          <w:rFonts w:ascii="Arial" w:cs="Arial" w:eastAsia="Arial" w:hAnsi="Arial"/>
          <w:sz w:val="20"/>
          <w:szCs w:val="20"/>
          <w:color w:val="auto"/>
        </w:rPr>
      </w:pPr>
      <w:r>
        <w:rPr>
          <w:rFonts w:ascii="Arial" w:cs="Arial" w:eastAsia="Arial" w:hAnsi="Arial"/>
          <w:sz w:val="20"/>
          <w:szCs w:val="20"/>
          <w:color w:val="auto"/>
        </w:rPr>
        <w:t>As between the Parties and in accordance with this Agreement, (a) Sarepta will be the Party that performs all Development activities set forth in the Joint Global Development Plan for the Licensed Products and all Development activities for all Option Products worldwide, unless agreed otherwise by the Parties and (b) Roche will be the Party that performs all Development activities set forth in the Roche Territory Development Plan for the Licensed Products. Each Party will conduct all Development activities for which it is responsible under this Agreement in a good scientific manner, in accordance with GLP and GCP, as applicable, and in compliance with Professional Requirements and Applicable Law.</w:t>
      </w:r>
    </w:p>
    <w:p>
      <w:pPr>
        <w:spacing w:after="0" w:line="198" w:lineRule="exact"/>
        <w:rPr>
          <w:rFonts w:ascii="Arial" w:cs="Arial" w:eastAsia="Arial" w:hAnsi="Arial"/>
          <w:sz w:val="20"/>
          <w:szCs w:val="20"/>
          <w:color w:val="auto"/>
        </w:rPr>
      </w:pPr>
    </w:p>
    <w:p>
      <w:pPr>
        <w:ind w:left="1600" w:right="620" w:hanging="364"/>
        <w:spacing w:after="0" w:line="275" w:lineRule="auto"/>
        <w:tabs>
          <w:tab w:leader="none" w:pos="160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Effect on Original Agreement</w:t>
      </w:r>
      <w:r>
        <w:rPr>
          <w:rFonts w:ascii="Arial" w:cs="Arial" w:eastAsia="Arial" w:hAnsi="Arial"/>
          <w:sz w:val="19"/>
          <w:szCs w:val="19"/>
          <w:color w:val="auto"/>
        </w:rPr>
        <w:t>. Except as specifically amended by this Amendment, the Original Agreement will remain in full force and effect and is hereby ratified and confirmed. Each future reference to the Original Agreement will refer to the Original Agreement as amended by this Amendment. To the extent a conflict arises between the terms of the Original Agreement and this Amendment, the terms of this Amendment shall prevail but only to the extent necessary to accomplish their intended purpose.</w:t>
      </w:r>
    </w:p>
    <w:p>
      <w:pPr>
        <w:spacing w:after="0" w:line="206" w:lineRule="exact"/>
        <w:rPr>
          <w:rFonts w:ascii="Arial" w:cs="Arial" w:eastAsia="Arial" w:hAnsi="Arial"/>
          <w:sz w:val="19"/>
          <w:szCs w:val="19"/>
          <w:color w:val="auto"/>
        </w:rPr>
      </w:pPr>
    </w:p>
    <w:p>
      <w:pPr>
        <w:ind w:left="1600" w:hanging="364"/>
        <w:spacing w:after="0"/>
        <w:tabs>
          <w:tab w:leader="none" w:pos="160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Incorporation</w:t>
      </w:r>
      <w:r>
        <w:rPr>
          <w:rFonts w:ascii="Arial" w:cs="Arial" w:eastAsia="Arial" w:hAnsi="Arial"/>
          <w:sz w:val="19"/>
          <w:szCs w:val="19"/>
          <w:color w:val="auto"/>
        </w:rPr>
        <w:t xml:space="preserve">. Article 17 of the Original Agreement is hereby incorporated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into this Amendment.</w:t>
      </w:r>
    </w:p>
    <w:p>
      <w:pPr>
        <w:spacing w:after="0" w:line="240" w:lineRule="exact"/>
        <w:rPr>
          <w:rFonts w:ascii="Arial" w:cs="Arial" w:eastAsia="Arial" w:hAnsi="Arial"/>
          <w:sz w:val="19"/>
          <w:szCs w:val="19"/>
          <w:color w:val="auto"/>
        </w:rPr>
      </w:pPr>
    </w:p>
    <w:p>
      <w:pPr>
        <w:ind w:left="1600" w:right="860" w:hanging="364"/>
        <w:spacing w:after="0" w:line="260" w:lineRule="auto"/>
        <w:tabs>
          <w:tab w:leader="none" w:pos="160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Seventh Amendment will be binding upon and inure to the benefit of the Parties and their respective permitted successors and assigns.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87006015_2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DocuSign Envelope ID: EA350C36-E900-4606-87D9-B0A4B2C2E752</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Roche Draft 1/6/2021</w:t>
      </w:r>
    </w:p>
    <w:p>
      <w:pPr>
        <w:spacing w:after="0" w:line="382" w:lineRule="exact"/>
        <w:rPr>
          <w:sz w:val="20"/>
          <w:szCs w:val="20"/>
          <w:color w:val="auto"/>
        </w:rPr>
      </w:pPr>
    </w:p>
    <w:p>
      <w:pPr>
        <w:ind w:left="1600" w:right="80" w:hanging="364"/>
        <w:spacing w:after="0" w:line="275" w:lineRule="auto"/>
        <w:tabs>
          <w:tab w:leader="none" w:pos="160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As of the Seventh Amendment Effective Date, each Party hereby represents and warrants that (a) it has the power and authority to execute and deliver this Seventh Amendment, (b) the execution, delivery, and performance of this Seventh Amendment by it has been duly authorized by all requisite corporate action, and (c) this Seventh Amendment has been duly executed and delivered on behalf of such Party and constitutes a legal, valid, and binding obligation of such Party and is enforceable against it in accordance with its terms.</w:t>
      </w:r>
    </w:p>
    <w:p>
      <w:pPr>
        <w:spacing w:after="0" w:line="206" w:lineRule="exact"/>
        <w:rPr>
          <w:rFonts w:ascii="Arial" w:cs="Arial" w:eastAsia="Arial" w:hAnsi="Arial"/>
          <w:sz w:val="19"/>
          <w:szCs w:val="19"/>
          <w:color w:val="auto"/>
        </w:rPr>
      </w:pPr>
    </w:p>
    <w:p>
      <w:pPr>
        <w:ind w:left="1600" w:right="20" w:hanging="364"/>
        <w:spacing w:after="0" w:line="264" w:lineRule="auto"/>
        <w:tabs>
          <w:tab w:leader="none" w:pos="160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Seventh Amendment and all amendments, modifications, alterations, or supplements hereto, and the rights of the Parties, will be construed under and governed by the laws of the State of New York, United States, exclusive of its conflicts of laws principles.</w:t>
      </w:r>
    </w:p>
    <w:p>
      <w:pPr>
        <w:spacing w:after="0" w:line="199" w:lineRule="exact"/>
        <w:rPr>
          <w:rFonts w:ascii="Arial" w:cs="Arial" w:eastAsia="Arial" w:hAnsi="Arial"/>
          <w:sz w:val="20"/>
          <w:szCs w:val="20"/>
          <w:color w:val="auto"/>
        </w:rPr>
      </w:pPr>
    </w:p>
    <w:p>
      <w:pPr>
        <w:ind w:left="1580" w:right="960" w:hanging="344"/>
        <w:spacing w:after="0" w:line="274" w:lineRule="auto"/>
        <w:tabs>
          <w:tab w:leader="none" w:pos="158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This Seventh Amendment may not be modified or amended, except by another agreement in writing executed by duly authorized signatories of each Party.</w:t>
      </w:r>
    </w:p>
    <w:p>
      <w:pPr>
        <w:spacing w:after="0" w:line="203" w:lineRule="exact"/>
        <w:rPr>
          <w:rFonts w:ascii="Arial" w:cs="Arial" w:eastAsia="Arial" w:hAnsi="Arial"/>
          <w:sz w:val="20"/>
          <w:szCs w:val="20"/>
          <w:color w:val="auto"/>
        </w:rPr>
      </w:pPr>
    </w:p>
    <w:p>
      <w:pPr>
        <w:ind w:left="1600" w:hanging="364"/>
        <w:spacing w:after="0" w:line="258" w:lineRule="auto"/>
        <w:tabs>
          <w:tab w:leader="none" w:pos="160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Seventh Amendment may be executed in two or more counterparts, all of which taken together will be regarded as one and the same instrument. Each Party may execute this Seventh Amendment in Adobe™ Portable Document Format (PDF) sent by electronic mail. PDF signatures of authorized signatories of the Parties will be deemed to be original signatures, will be valid and binding upon the Parties, and, upon delivery, will constitute due execution of this Seventh Amendment.</w:t>
      </w:r>
    </w:p>
    <w:p>
      <w:pPr>
        <w:spacing w:after="0" w:line="195" w:lineRule="exact"/>
        <w:rPr>
          <w:sz w:val="20"/>
          <w:szCs w:val="20"/>
          <w:color w:val="auto"/>
        </w:rPr>
      </w:pPr>
    </w:p>
    <w:p>
      <w:pPr>
        <w:ind w:left="5560"/>
        <w:spacing w:after="0"/>
        <w:rPr>
          <w:sz w:val="20"/>
          <w:szCs w:val="20"/>
          <w:color w:val="auto"/>
        </w:rPr>
      </w:pPr>
      <w:r>
        <w:rPr>
          <w:rFonts w:ascii="Arial" w:cs="Arial" w:eastAsia="Arial" w:hAnsi="Arial"/>
          <w:sz w:val="20"/>
          <w:szCs w:val="20"/>
          <w:i w:val="1"/>
          <w:iCs w:val="1"/>
          <w:color w:val="auto"/>
        </w:rPr>
        <w:t>[Signatures Follow]</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0"/>
          <w:szCs w:val="20"/>
          <w:color w:val="auto"/>
        </w:rPr>
        <w:t>2</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87006015_2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44" w:right="55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DocuSign Envelope ID: EA350C36-E900-4606-87D9-B0A4B2C2E752</w:t>
      </w:r>
    </w:p>
    <w:p>
      <w:pPr>
        <w:spacing w:after="0" w:line="330" w:lineRule="exact"/>
        <w:rPr>
          <w:sz w:val="20"/>
          <w:szCs w:val="20"/>
          <w:color w:val="auto"/>
        </w:rPr>
      </w:pPr>
    </w:p>
    <w:p>
      <w:pPr>
        <w:ind w:left="1000"/>
        <w:spacing w:after="0" w:line="246" w:lineRule="auto"/>
        <w:rPr>
          <w:sz w:val="20"/>
          <w:szCs w:val="20"/>
          <w:color w:val="auto"/>
        </w:rPr>
      </w:pPr>
      <w:r>
        <w:rPr>
          <w:rFonts w:ascii="Arial" w:cs="Arial" w:eastAsia="Arial" w:hAnsi="Arial"/>
          <w:sz w:val="20"/>
          <w:szCs w:val="20"/>
          <w:color w:val="auto"/>
        </w:rPr>
        <w:t>IN WITNESS WHEREOF, the Parties have executed this Seventh Amendment to License, Collaboration, and Option Agreement through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60"/>
        <w:spacing w:after="0"/>
        <w:rPr>
          <w:sz w:val="20"/>
          <w:szCs w:val="20"/>
          <w:color w:val="auto"/>
        </w:rPr>
      </w:pPr>
      <w:r>
        <w:rPr>
          <w:rFonts w:ascii="Arial" w:cs="Arial" w:eastAsia="Arial" w:hAnsi="Arial"/>
          <w:sz w:val="20"/>
          <w:szCs w:val="20"/>
          <w:b w:val="1"/>
          <w:bCs w:val="1"/>
          <w:u w:val="single" w:color="auto"/>
          <w:color w:val="auto"/>
        </w:rPr>
        <w:t>Sarepta Therapeutics Three, LLC</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u w:val="single" w:color="auto"/>
          <w:color w:val="auto"/>
        </w:rPr>
        <w:t>By: /s/ Adam Hopkin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u w:val="single" w:color="auto"/>
          <w:color w:val="auto"/>
        </w:rPr>
        <w:t>Name: Adam Hopkin</w:t>
      </w:r>
    </w:p>
    <w:p>
      <w:pPr>
        <w:ind w:left="1160"/>
        <w:spacing w:after="0"/>
        <w:rPr>
          <w:sz w:val="20"/>
          <w:szCs w:val="20"/>
          <w:color w:val="auto"/>
        </w:rPr>
      </w:pPr>
      <w:r>
        <w:rPr>
          <w:rFonts w:ascii="Arial" w:cs="Arial" w:eastAsia="Arial" w:hAnsi="Arial"/>
          <w:sz w:val="20"/>
          <w:szCs w:val="20"/>
          <w:u w:val="single" w:color="auto"/>
          <w:color w:val="auto"/>
        </w:rPr>
        <w:t>Title: Manager</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20"/>
          <w:szCs w:val="20"/>
          <w:b w:val="1"/>
          <w:bCs w:val="1"/>
          <w:u w:val="single" w:color="auto"/>
          <w:color w:val="auto"/>
        </w:rPr>
        <w:t>F. Hoffmann-La Roche Ltd</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u w:val="single" w:color="auto"/>
          <w:color w:val="auto"/>
        </w:rPr>
        <w:t>By: /s/ Claire Steers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u w:val="single" w:color="auto"/>
          <w:color w:val="auto"/>
        </w:rPr>
        <w:t>Name: Claire Steers</w:t>
      </w:r>
    </w:p>
    <w:p>
      <w:pPr>
        <w:ind w:left="1160"/>
        <w:spacing w:after="0"/>
        <w:rPr>
          <w:sz w:val="20"/>
          <w:szCs w:val="20"/>
          <w:color w:val="auto"/>
        </w:rPr>
      </w:pPr>
      <w:r>
        <w:rPr>
          <w:rFonts w:ascii="Arial" w:cs="Arial" w:eastAsia="Arial" w:hAnsi="Arial"/>
          <w:sz w:val="20"/>
          <w:szCs w:val="20"/>
          <w:u w:val="single" w:color="auto"/>
          <w:color w:val="auto"/>
        </w:rPr>
        <w:t>Title: Global Alliance Director</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20"/>
          <w:szCs w:val="20"/>
          <w:u w:val="single" w:color="auto"/>
          <w:color w:val="auto"/>
        </w:rPr>
        <w:t>By: /s/ Franziska Baechler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u w:val="single" w:color="auto"/>
          <w:color w:val="auto"/>
        </w:rPr>
        <w:t>Name: Franziska Baechler</w:t>
      </w:r>
    </w:p>
    <w:p>
      <w:pPr>
        <w:ind w:left="1160"/>
        <w:spacing w:after="0"/>
        <w:rPr>
          <w:sz w:val="20"/>
          <w:szCs w:val="20"/>
          <w:color w:val="auto"/>
        </w:rPr>
      </w:pPr>
      <w:r>
        <w:rPr>
          <w:rFonts w:ascii="Arial" w:cs="Arial" w:eastAsia="Arial" w:hAnsi="Arial"/>
          <w:sz w:val="20"/>
          <w:szCs w:val="20"/>
          <w:u w:val="single" w:color="auto"/>
          <w:color w:val="auto"/>
        </w:rPr>
        <w:t>Title: Attorney-at-Law</w:t>
      </w:r>
    </w:p>
    <w:p>
      <w:pPr>
        <w:spacing w:after="0" w:line="200" w:lineRule="exact"/>
        <w:rPr>
          <w:sz w:val="20"/>
          <w:szCs w:val="20"/>
          <w:color w:val="auto"/>
        </w:rPr>
      </w:pPr>
    </w:p>
    <w:p>
      <w:pPr>
        <w:spacing w:after="0" w:line="229" w:lineRule="exact"/>
        <w:rPr>
          <w:sz w:val="20"/>
          <w:szCs w:val="20"/>
          <w:color w:val="auto"/>
        </w:rPr>
      </w:pPr>
    </w:p>
    <w:p>
      <w:pPr>
        <w:ind w:left="1860"/>
        <w:spacing w:after="0"/>
        <w:rPr>
          <w:sz w:val="20"/>
          <w:szCs w:val="20"/>
          <w:color w:val="auto"/>
        </w:rPr>
      </w:pPr>
      <w:r>
        <w:rPr>
          <w:rFonts w:ascii="Arial" w:cs="Arial" w:eastAsia="Arial" w:hAnsi="Arial"/>
          <w:sz w:val="20"/>
          <w:szCs w:val="20"/>
          <w:i w:val="1"/>
          <w:iCs w:val="1"/>
          <w:color w:val="auto"/>
        </w:rPr>
        <w:t>[Signature Page To Seventh Amendment To License, Collaboration,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144" w:right="125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DocuSign Envelope ID: 118F1C3C-AB1A-4635-B0F9-E8EBF3E1D40D</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10.64</w:t>
      </w:r>
    </w:p>
    <w:p>
      <w:pPr>
        <w:spacing w:after="0" w:line="304"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EIGHTH AMENDMENT TO LICENSE, COLLABORATION, AND OPTION AGREEMENT</w:t>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This EIGHTH AMENDMENT TO LICENSE, COLLABORATION, AND OPTION AGREEMENT (this</w:t>
      </w:r>
    </w:p>
    <w:p>
      <w:pPr>
        <w:spacing w:after="0" w:line="2" w:lineRule="exact"/>
        <w:rPr>
          <w:sz w:val="20"/>
          <w:szCs w:val="20"/>
          <w:color w:val="auto"/>
        </w:rPr>
      </w:pPr>
    </w:p>
    <w:p>
      <w:pPr>
        <w:jc w:val="both"/>
        <w:ind w:left="1240" w:right="12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Eighth Amendment</w:t>
      </w:r>
      <w:r>
        <w:rPr>
          <w:rFonts w:ascii="Arial" w:cs="Arial" w:eastAsia="Arial" w:hAnsi="Arial"/>
          <w:sz w:val="20"/>
          <w:szCs w:val="20"/>
          <w:color w:val="auto"/>
        </w:rPr>
        <w:t>”) is made and entered into as of January 28, 2022 (the “</w:t>
      </w:r>
      <w:r>
        <w:rPr>
          <w:rFonts w:ascii="Arial" w:cs="Arial" w:eastAsia="Arial" w:hAnsi="Arial"/>
          <w:sz w:val="20"/>
          <w:szCs w:val="20"/>
          <w:b w:val="1"/>
          <w:bCs w:val="1"/>
          <w:color w:val="auto"/>
        </w:rPr>
        <w:t>Eighth Amendment Effective Date</w:t>
      </w:r>
      <w:r>
        <w:rPr>
          <w:rFonts w:ascii="Arial" w:cs="Arial" w:eastAsia="Arial" w:hAnsi="Arial"/>
          <w:sz w:val="20"/>
          <w:szCs w:val="20"/>
          <w:color w:val="auto"/>
        </w:rPr>
        <w:t>”) between Sarepta Therapeutics Three LLC, a limited liability company organized and existing under the laws of the State of Delaware, United States of America, with its principal offices at 215 First Street, Cambridge, MA, 02142 (“</w:t>
      </w:r>
      <w:r>
        <w:rPr>
          <w:rFonts w:ascii="Arial" w:cs="Arial" w:eastAsia="Arial" w:hAnsi="Arial"/>
          <w:sz w:val="20"/>
          <w:szCs w:val="20"/>
          <w:b w:val="1"/>
          <w:bCs w:val="1"/>
          <w:color w:val="auto"/>
        </w:rPr>
        <w:t>Sarepta</w:t>
      </w:r>
      <w:r>
        <w:rPr>
          <w:rFonts w:ascii="Arial" w:cs="Arial" w:eastAsia="Arial" w:hAnsi="Arial"/>
          <w:sz w:val="20"/>
          <w:szCs w:val="20"/>
          <w:color w:val="auto"/>
        </w:rPr>
        <w:t>”) and F. Hoffmann-La Roche Ltd, a company organized and existing under the laws of Switzerland, with its principal office at Grenzacherstrasse 124, 4070 Basel, Switzerland (“</w:t>
      </w:r>
      <w:r>
        <w:rPr>
          <w:rFonts w:ascii="Arial" w:cs="Arial" w:eastAsia="Arial" w:hAnsi="Arial"/>
          <w:sz w:val="20"/>
          <w:szCs w:val="20"/>
          <w:b w:val="1"/>
          <w:bCs w:val="1"/>
          <w:color w:val="auto"/>
        </w:rPr>
        <w:t>Roche</w:t>
      </w:r>
      <w:r>
        <w:rPr>
          <w:rFonts w:ascii="Arial" w:cs="Arial" w:eastAsia="Arial" w:hAnsi="Arial"/>
          <w:sz w:val="20"/>
          <w:szCs w:val="20"/>
          <w:color w:val="auto"/>
        </w:rPr>
        <w:t>”). Sarepta and Roche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jc w:val="both"/>
        <w:ind w:left="1240" w:right="120"/>
        <w:spacing w:after="0" w:line="233" w:lineRule="auto"/>
        <w:rPr>
          <w:sz w:val="20"/>
          <w:szCs w:val="20"/>
          <w:color w:val="auto"/>
        </w:rPr>
      </w:pPr>
      <w:r>
        <w:rPr>
          <w:rFonts w:ascii="Arial" w:cs="Arial" w:eastAsia="Arial" w:hAnsi="Arial"/>
          <w:sz w:val="20"/>
          <w:szCs w:val="20"/>
          <w:color w:val="auto"/>
        </w:rPr>
        <w:t>WHEREAS, Sarepta and Roche entered into that certain License, Collaboration, and Option Agreement executed on December 21, 2019 and effective as of February 4, 2020 and amended October 23, 2020,</w:t>
      </w:r>
    </w:p>
    <w:p>
      <w:pPr>
        <w:spacing w:after="0" w:line="1" w:lineRule="exact"/>
        <w:rPr>
          <w:sz w:val="20"/>
          <w:szCs w:val="20"/>
          <w:color w:val="auto"/>
        </w:rPr>
      </w:pPr>
    </w:p>
    <w:p>
      <w:pPr>
        <w:ind w:left="1240" w:right="120"/>
        <w:spacing w:after="0" w:line="244" w:lineRule="auto"/>
        <w:rPr>
          <w:sz w:val="20"/>
          <w:szCs w:val="20"/>
          <w:color w:val="auto"/>
        </w:rPr>
      </w:pPr>
      <w:r>
        <w:rPr>
          <w:rFonts w:ascii="Arial" w:cs="Arial" w:eastAsia="Arial" w:hAnsi="Arial"/>
          <w:sz w:val="20"/>
          <w:szCs w:val="20"/>
          <w:color w:val="auto"/>
        </w:rPr>
        <w:t>October 28, 2020, February 4, 2021, June 23, 2021, August 31, 2021, November 30, 2021, and January 5, 2022 (the “</w:t>
      </w:r>
      <w:r>
        <w:rPr>
          <w:rFonts w:ascii="Arial" w:cs="Arial" w:eastAsia="Arial" w:hAnsi="Arial"/>
          <w:sz w:val="20"/>
          <w:szCs w:val="20"/>
          <w:b w:val="1"/>
          <w:bCs w:val="1"/>
          <w:color w:val="auto"/>
        </w:rPr>
        <w:t>Original Agreement</w:t>
      </w:r>
      <w:r>
        <w:rPr>
          <w:rFonts w:ascii="Arial" w:cs="Arial" w:eastAsia="Arial" w:hAnsi="Arial"/>
          <w:sz w:val="20"/>
          <w:szCs w:val="20"/>
          <w:color w:val="auto"/>
        </w:rPr>
        <w:t>”); and</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WHEREAS, the Parties desire to make certain further amendments to the Original Agreement;</w:t>
      </w:r>
    </w:p>
    <w:p>
      <w:pPr>
        <w:spacing w:after="0" w:line="216" w:lineRule="exact"/>
        <w:rPr>
          <w:sz w:val="20"/>
          <w:szCs w:val="20"/>
          <w:color w:val="auto"/>
        </w:rPr>
      </w:pPr>
    </w:p>
    <w:p>
      <w:pPr>
        <w:jc w:val="both"/>
        <w:ind w:left="1240" w:right="120"/>
        <w:spacing w:after="0" w:line="246" w:lineRule="auto"/>
        <w:rPr>
          <w:sz w:val="20"/>
          <w:szCs w:val="20"/>
          <w:color w:val="auto"/>
        </w:rPr>
      </w:pPr>
      <w:r>
        <w:rPr>
          <w:rFonts w:ascii="Arial" w:cs="Arial" w:eastAsia="Arial" w:hAnsi="Arial"/>
          <w:sz w:val="20"/>
          <w:szCs w:val="20"/>
          <w:color w:val="auto"/>
        </w:rPr>
        <w:t>NOW, THEREFORE, in consideration of the promises and covenants contained in this Eighth Amendment, and intending to be legally bound, the Parties hereby agree as follows:</w:t>
      </w:r>
    </w:p>
    <w:p>
      <w:pPr>
        <w:spacing w:after="0" w:line="190" w:lineRule="exact"/>
        <w:rPr>
          <w:sz w:val="20"/>
          <w:szCs w:val="20"/>
          <w:color w:val="auto"/>
        </w:rPr>
      </w:pPr>
    </w:p>
    <w:p>
      <w:pPr>
        <w:jc w:val="both"/>
        <w:ind w:left="1600" w:right="120" w:hanging="364"/>
        <w:spacing w:after="0" w:line="237" w:lineRule="auto"/>
        <w:tabs>
          <w:tab w:leader="none" w:pos="160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Capitalized terms not defined in this Eighth Amendment have the meanings given such terms in the Original Agreement. References to Sections and Schedules herein will be to Sections and Schedules of the Original Agreement, except as otherwise noted.</w:t>
      </w:r>
    </w:p>
    <w:p>
      <w:pPr>
        <w:spacing w:after="0" w:line="182" w:lineRule="exact"/>
        <w:rPr>
          <w:rFonts w:ascii="Arial" w:cs="Arial" w:eastAsia="Arial" w:hAnsi="Arial"/>
          <w:sz w:val="20"/>
          <w:szCs w:val="20"/>
          <w:color w:val="auto"/>
        </w:rPr>
      </w:pPr>
    </w:p>
    <w:p>
      <w:pPr>
        <w:ind w:left="1620" w:hanging="384"/>
        <w:spacing w:after="0"/>
        <w:tabs>
          <w:tab w:leader="none" w:pos="162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02" w:lineRule="exact"/>
        <w:rPr>
          <w:sz w:val="20"/>
          <w:szCs w:val="20"/>
          <w:color w:val="auto"/>
        </w:rPr>
      </w:pPr>
    </w:p>
    <w:p>
      <w:pPr>
        <w:ind w:left="2360" w:hanging="375"/>
        <w:spacing w:after="0"/>
        <w:tabs>
          <w:tab w:leader="none" w:pos="23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Section 8.6.1 shall be deleted and replaced by the following:</w:t>
      </w:r>
    </w:p>
    <w:p>
      <w:pPr>
        <w:spacing w:after="0" w:line="169"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 xml:space="preserve">Development Supply Agreement. </w:t>
      </w:r>
      <w:r>
        <w:rPr>
          <w:rFonts w:ascii="Arial" w:cs="Arial" w:eastAsia="Arial" w:hAnsi="Arial"/>
          <w:sz w:val="20"/>
          <w:szCs w:val="20"/>
          <w:color w:val="auto"/>
        </w:rPr>
        <w:t>Unless otherwise agreed by the Parties, no later than</w:t>
      </w:r>
    </w:p>
    <w:p>
      <w:pPr>
        <w:spacing w:after="0" w:line="8" w:lineRule="exact"/>
        <w:rPr>
          <w:sz w:val="20"/>
          <w:szCs w:val="20"/>
          <w:color w:val="auto"/>
        </w:rPr>
      </w:pPr>
    </w:p>
    <w:p>
      <w:pPr>
        <w:jc w:val="both"/>
        <w:ind w:left="2740" w:right="120"/>
        <w:spacing w:after="0" w:line="254" w:lineRule="auto"/>
        <w:rPr>
          <w:sz w:val="20"/>
          <w:szCs w:val="20"/>
          <w:color w:val="auto"/>
        </w:rPr>
      </w:pPr>
      <w:r>
        <w:rPr>
          <w:rFonts w:ascii="Arial" w:cs="Arial" w:eastAsia="Arial" w:hAnsi="Arial"/>
          <w:sz w:val="18"/>
          <w:szCs w:val="18"/>
          <w:color w:val="auto"/>
        </w:rPr>
        <w:t xml:space="preserve">(a)March 31, 2022, with regards to the Lead Product, and (b) no later than nine months following the effective date of exercise of the Option with regards to every other Licensed Product to which this Article 8 (Manufacturing and Supply) applies in accordance with Section 8.1, (or such other time as agreed by each Party), the Parties will negotiate in good faith and enter into a supply agreement on reasonable and customary terms for the supply of such Licensed Product by Sarepta to Roche in the Roche Territory at the Supply Price (the </w:t>
      </w:r>
      <w:r>
        <w:rPr>
          <w:rFonts w:ascii="Arial" w:cs="Arial" w:eastAsia="Arial" w:hAnsi="Arial"/>
          <w:sz w:val="18"/>
          <w:szCs w:val="18"/>
          <w:b w:val="1"/>
          <w:bCs w:val="1"/>
          <w:color w:val="auto"/>
        </w:rPr>
        <w:t>“Development Supply Agreement</w:t>
      </w:r>
      <w:r>
        <w:rPr>
          <w:rFonts w:ascii="Arial" w:cs="Arial" w:eastAsia="Arial" w:hAnsi="Arial"/>
          <w:sz w:val="18"/>
          <w:szCs w:val="18"/>
          <w:color w:val="auto"/>
        </w:rPr>
        <w:t>”), and a related quality agreement, which agreements will govern the terms and conditions of the Manufacturing of such Licensed Product for Development purposes. The Parties may choose to combine into a single agreement the Development Supply Agreement and the Commercial Supply Agreement for a Licensed Product.</w:t>
      </w:r>
    </w:p>
    <w:p>
      <w:pPr>
        <w:spacing w:after="0" w:line="132" w:lineRule="exact"/>
        <w:rPr>
          <w:sz w:val="20"/>
          <w:szCs w:val="20"/>
          <w:color w:val="auto"/>
        </w:rPr>
      </w:pPr>
    </w:p>
    <w:p>
      <w:pPr>
        <w:ind w:left="2460" w:hanging="475"/>
        <w:spacing w:after="0"/>
        <w:tabs>
          <w:tab w:leader="none" w:pos="24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Section 8.6.2 shall be deleted and replaced by the following:</w:t>
      </w:r>
    </w:p>
    <w:p>
      <w:pPr>
        <w:spacing w:after="0" w:line="169"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Commercial Supply Agreement</w:t>
      </w:r>
      <w:r>
        <w:rPr>
          <w:rFonts w:ascii="Arial" w:cs="Arial" w:eastAsia="Arial" w:hAnsi="Arial"/>
          <w:sz w:val="20"/>
          <w:szCs w:val="20"/>
          <w:color w:val="auto"/>
        </w:rPr>
        <w:t>. Unless otherwise agreed by the Parties, no later  than</w:t>
      </w:r>
    </w:p>
    <w:p>
      <w:pPr>
        <w:spacing w:after="0" w:line="26" w:lineRule="exact"/>
        <w:rPr>
          <w:sz w:val="20"/>
          <w:szCs w:val="20"/>
          <w:color w:val="auto"/>
        </w:rPr>
      </w:pPr>
    </w:p>
    <w:p>
      <w:pPr>
        <w:jc w:val="both"/>
        <w:ind w:left="2740" w:right="120"/>
        <w:spacing w:after="0" w:line="256" w:lineRule="auto"/>
        <w:rPr>
          <w:sz w:val="20"/>
          <w:szCs w:val="20"/>
          <w:color w:val="auto"/>
        </w:rPr>
      </w:pPr>
      <w:r>
        <w:rPr>
          <w:rFonts w:ascii="Arial" w:cs="Arial" w:eastAsia="Arial" w:hAnsi="Arial"/>
          <w:sz w:val="20"/>
          <w:szCs w:val="20"/>
          <w:color w:val="auto"/>
        </w:rPr>
        <w:t>(a)March 31, 2022, with regards to the Lead Product, and (b) no later than twelve (12) months following the effective date of the Option Exercise with regards to every other Licensed Product to which this Article 8 (Manufacturing and Supply) applies in accordance with Section 8.1, (or such other time as agreed by each Party), the Parties will negotiate in good faith and enter into a commercial supply agreement on reasonable and customary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25"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DocuSign Envelope ID: 118F1C3C-AB1A-4635-B0F9-E8EBF3E1D40D</w:t>
      </w:r>
    </w:p>
    <w:p>
      <w:pPr>
        <w:spacing w:after="0" w:line="1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terms for the commercial-grade supply of such Licensed Product by Sarepta to</w:t>
      </w:r>
    </w:p>
    <w:p>
      <w:pPr>
        <w:spacing w:after="0" w:line="200" w:lineRule="exact"/>
        <w:rPr>
          <w:sz w:val="20"/>
          <w:szCs w:val="20"/>
          <w:color w:val="auto"/>
        </w:rPr>
      </w:pPr>
    </w:p>
    <w:p>
      <w:pPr>
        <w:spacing w:after="0" w:line="383" w:lineRule="exact"/>
        <w:rPr>
          <w:sz w:val="20"/>
          <w:szCs w:val="20"/>
          <w:color w:val="auto"/>
        </w:rPr>
      </w:pPr>
    </w:p>
    <w:p>
      <w:pPr>
        <w:jc w:val="both"/>
        <w:ind w:left="2740"/>
        <w:spacing w:after="0" w:line="259" w:lineRule="auto"/>
        <w:rPr>
          <w:sz w:val="20"/>
          <w:szCs w:val="20"/>
          <w:color w:val="auto"/>
        </w:rPr>
      </w:pPr>
      <w:r>
        <w:rPr>
          <w:rFonts w:ascii="Arial" w:cs="Arial" w:eastAsia="Arial" w:hAnsi="Arial"/>
          <w:sz w:val="20"/>
          <w:szCs w:val="20"/>
          <w:color w:val="auto"/>
        </w:rPr>
        <w:t>Roche in the Roche Territory at the Supply Price (the “</w:t>
      </w:r>
      <w:r>
        <w:rPr>
          <w:rFonts w:ascii="Arial" w:cs="Arial" w:eastAsia="Arial" w:hAnsi="Arial"/>
          <w:sz w:val="20"/>
          <w:szCs w:val="20"/>
          <w:b w:val="1"/>
          <w:bCs w:val="1"/>
          <w:color w:val="auto"/>
        </w:rPr>
        <w:t>Commercial Supply Agreement</w:t>
      </w:r>
      <w:r>
        <w:rPr>
          <w:rFonts w:ascii="Arial" w:cs="Arial" w:eastAsia="Arial" w:hAnsi="Arial"/>
          <w:sz w:val="20"/>
          <w:szCs w:val="20"/>
          <w:color w:val="auto"/>
        </w:rPr>
        <w:t>” and together with the Development Supply Agreement, the “</w:t>
      </w:r>
      <w:r>
        <w:rPr>
          <w:rFonts w:ascii="Arial" w:cs="Arial" w:eastAsia="Arial" w:hAnsi="Arial"/>
          <w:sz w:val="20"/>
          <w:szCs w:val="20"/>
          <w:b w:val="1"/>
          <w:bCs w:val="1"/>
          <w:color w:val="auto"/>
        </w:rPr>
        <w:t>Supply Agreements</w:t>
      </w:r>
      <w:r>
        <w:rPr>
          <w:rFonts w:ascii="Arial" w:cs="Arial" w:eastAsia="Arial" w:hAnsi="Arial"/>
          <w:sz w:val="20"/>
          <w:szCs w:val="20"/>
          <w:color w:val="auto"/>
        </w:rPr>
        <w:t>”), and a related quality agreement, which agreements will govern the terms and conditions of the Manufacturing and supply of such Licensed Product for Commercialization purposes. As noted above, the Parties may choose to combine into a single agreement the Development Supply Agreement and the Commercial Supply Agreement for a Licensed Product,</w:t>
      </w:r>
    </w:p>
    <w:p>
      <w:pPr>
        <w:spacing w:after="0" w:line="110" w:lineRule="exact"/>
        <w:rPr>
          <w:sz w:val="20"/>
          <w:szCs w:val="20"/>
          <w:color w:val="auto"/>
        </w:rPr>
      </w:pPr>
    </w:p>
    <w:p>
      <w:pPr>
        <w:jc w:val="both"/>
        <w:ind w:left="1600" w:hanging="364"/>
        <w:spacing w:after="0" w:line="275" w:lineRule="auto"/>
        <w:tabs>
          <w:tab w:leader="none" w:pos="160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Effect on Original Agreement</w:t>
      </w:r>
      <w:r>
        <w:rPr>
          <w:rFonts w:ascii="Arial" w:cs="Arial" w:eastAsia="Arial" w:hAnsi="Arial"/>
          <w:sz w:val="19"/>
          <w:szCs w:val="19"/>
          <w:color w:val="auto"/>
        </w:rPr>
        <w:t>. Except as specifically amended by this Eighth Amendment, the Original Agreement will remain in full force and effect and is hereby ratified and confirmed. Each future reference to the Original Agreement will refer to the Original Agreement as amended by this Eighth Amendment. To the extent a conflict arises between the terms of the Original Agreement and this Eighth Amendment, the terms of this Eighth Amendment shall prevail but only to the extent necessary to accomplish their intended purpose.</w:t>
      </w:r>
    </w:p>
    <w:p>
      <w:pPr>
        <w:spacing w:after="0" w:line="206" w:lineRule="exact"/>
        <w:rPr>
          <w:rFonts w:ascii="Arial" w:cs="Arial" w:eastAsia="Arial" w:hAnsi="Arial"/>
          <w:sz w:val="19"/>
          <w:szCs w:val="19"/>
          <w:color w:val="auto"/>
        </w:rPr>
      </w:pPr>
    </w:p>
    <w:p>
      <w:pPr>
        <w:ind w:left="1600" w:hanging="364"/>
        <w:spacing w:after="0"/>
        <w:tabs>
          <w:tab w:leader="none" w:pos="160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Incorporation</w:t>
      </w:r>
      <w:r>
        <w:rPr>
          <w:rFonts w:ascii="Arial" w:cs="Arial" w:eastAsia="Arial" w:hAnsi="Arial"/>
          <w:sz w:val="19"/>
          <w:szCs w:val="19"/>
          <w:color w:val="auto"/>
        </w:rPr>
        <w:t xml:space="preserve">. Article 17 of the Original Agreement is hereby incorporated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into this Amendment.</w:t>
      </w:r>
    </w:p>
    <w:p>
      <w:pPr>
        <w:spacing w:after="0" w:line="240" w:lineRule="exact"/>
        <w:rPr>
          <w:rFonts w:ascii="Arial" w:cs="Arial" w:eastAsia="Arial" w:hAnsi="Arial"/>
          <w:sz w:val="19"/>
          <w:szCs w:val="19"/>
          <w:color w:val="auto"/>
        </w:rPr>
      </w:pPr>
    </w:p>
    <w:p>
      <w:pPr>
        <w:ind w:left="1600" w:hanging="364"/>
        <w:spacing w:after="0" w:line="260" w:lineRule="auto"/>
        <w:tabs>
          <w:tab w:leader="none" w:pos="16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Eighth Amendment will be binding upon and inure to the benefit of the Parties and their respective permitted successors and assigns.</w:t>
      </w:r>
    </w:p>
    <w:p>
      <w:pPr>
        <w:spacing w:after="0" w:line="203" w:lineRule="exact"/>
        <w:rPr>
          <w:rFonts w:ascii="Arial" w:cs="Arial" w:eastAsia="Arial" w:hAnsi="Arial"/>
          <w:sz w:val="20"/>
          <w:szCs w:val="20"/>
          <w:color w:val="auto"/>
        </w:rPr>
      </w:pPr>
    </w:p>
    <w:p>
      <w:pPr>
        <w:ind w:left="1620" w:hanging="384"/>
        <w:spacing w:after="0"/>
        <w:tabs>
          <w:tab w:leader="none" w:pos="16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As of the Eighth Amendment Effective Date, each Party hereby represents and warrants that</w:t>
      </w:r>
    </w:p>
    <w:p>
      <w:pPr>
        <w:spacing w:after="0" w:line="26" w:lineRule="exact"/>
        <w:rPr>
          <w:rFonts w:ascii="Arial" w:cs="Arial" w:eastAsia="Arial" w:hAnsi="Arial"/>
          <w:sz w:val="20"/>
          <w:szCs w:val="20"/>
          <w:color w:val="auto"/>
        </w:rPr>
      </w:pPr>
    </w:p>
    <w:p>
      <w:pPr>
        <w:jc w:val="both"/>
        <w:ind w:left="1600" w:firstLine="10"/>
        <w:spacing w:after="0" w:line="278" w:lineRule="auto"/>
        <w:tabs>
          <w:tab w:leader="none" w:pos="1901" w:val="left"/>
        </w:tabs>
        <w:numPr>
          <w:ilvl w:val="1"/>
          <w:numId w:val="91"/>
        </w:numPr>
        <w:rPr>
          <w:rFonts w:ascii="Arial" w:cs="Arial" w:eastAsia="Arial" w:hAnsi="Arial"/>
          <w:sz w:val="19"/>
          <w:szCs w:val="19"/>
          <w:color w:val="auto"/>
        </w:rPr>
      </w:pPr>
      <w:r>
        <w:rPr>
          <w:rFonts w:ascii="Arial" w:cs="Arial" w:eastAsia="Arial" w:hAnsi="Arial"/>
          <w:sz w:val="19"/>
          <w:szCs w:val="19"/>
          <w:color w:val="auto"/>
        </w:rPr>
        <w:t>it has the power and authority to execute and deliver this Eighth Amendment, (b) the execution, delivery, and performance of this Eighth Amendment by it has been duly authorized by all requisite corporate action, and (c) this Eighth Amendment has been duly executed and delivered on behalf of such Party and constitutes a legal, valid, and binding obligation of such Party and is enforceable against it in accordance with its terms.</w:t>
      </w:r>
    </w:p>
    <w:p>
      <w:pPr>
        <w:spacing w:after="0" w:line="189" w:lineRule="exact"/>
        <w:rPr>
          <w:rFonts w:ascii="Arial" w:cs="Arial" w:eastAsia="Arial" w:hAnsi="Arial"/>
          <w:sz w:val="19"/>
          <w:szCs w:val="19"/>
          <w:color w:val="auto"/>
        </w:rPr>
      </w:pPr>
    </w:p>
    <w:p>
      <w:pPr>
        <w:jc w:val="both"/>
        <w:ind w:left="1600" w:hanging="364"/>
        <w:spacing w:after="0" w:line="264" w:lineRule="auto"/>
        <w:tabs>
          <w:tab w:leader="none" w:pos="16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Eighth Amendment and all amendments, modifications, alterations, or supplements hereto, and the rights of the Parties, will be construed under and governed by the laws of the State of New York, United States, exclusive of its conflicts of laws principles.</w:t>
      </w:r>
    </w:p>
    <w:p>
      <w:pPr>
        <w:spacing w:after="0" w:line="213" w:lineRule="exact"/>
        <w:rPr>
          <w:rFonts w:ascii="Arial" w:cs="Arial" w:eastAsia="Arial" w:hAnsi="Arial"/>
          <w:sz w:val="20"/>
          <w:szCs w:val="20"/>
          <w:color w:val="auto"/>
        </w:rPr>
      </w:pPr>
    </w:p>
    <w:p>
      <w:pPr>
        <w:ind w:left="1600" w:right="20" w:hanging="364"/>
        <w:spacing w:after="0" w:line="274" w:lineRule="auto"/>
        <w:tabs>
          <w:tab w:leader="none" w:pos="16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This Eighth Amendment may not be modified or amended, except by another agreement in writing executed by duly authorized signatories of each Party.</w:t>
      </w:r>
    </w:p>
    <w:p>
      <w:pPr>
        <w:spacing w:after="0" w:line="190" w:lineRule="exact"/>
        <w:rPr>
          <w:rFonts w:ascii="Arial" w:cs="Arial" w:eastAsia="Arial" w:hAnsi="Arial"/>
          <w:sz w:val="20"/>
          <w:szCs w:val="20"/>
          <w:color w:val="auto"/>
        </w:rPr>
      </w:pPr>
    </w:p>
    <w:p>
      <w:pPr>
        <w:jc w:val="both"/>
        <w:ind w:left="1600" w:hanging="364"/>
        <w:spacing w:after="0" w:line="258" w:lineRule="auto"/>
        <w:tabs>
          <w:tab w:leader="none" w:pos="16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Eighth Amendment may be executed in two or more counterparts, all of which taken together will be regarded as one and the same instrument. Each Party may execute this Eighth Amendment in Adobe™ Portable Document Format (PDF) sent by electronic mail. PDF signatures of authorized signatories of the Parties will be deemed to be original signatures, will be valid and binding upon the Parties, and, upon delivery, will constitute due execution of this Eighth Amendment.</w:t>
      </w:r>
    </w:p>
    <w:p>
      <w:pPr>
        <w:spacing w:after="0" w:line="208" w:lineRule="exact"/>
        <w:rPr>
          <w:sz w:val="20"/>
          <w:szCs w:val="20"/>
          <w:color w:val="auto"/>
        </w:rPr>
      </w:pPr>
    </w:p>
    <w:p>
      <w:pPr>
        <w:ind w:left="5560"/>
        <w:spacing w:after="0"/>
        <w:rPr>
          <w:sz w:val="20"/>
          <w:szCs w:val="20"/>
          <w:color w:val="auto"/>
        </w:rPr>
      </w:pPr>
      <w:r>
        <w:rPr>
          <w:rFonts w:ascii="Arial" w:cs="Arial" w:eastAsia="Arial" w:hAnsi="Arial"/>
          <w:sz w:val="20"/>
          <w:szCs w:val="20"/>
          <w:i w:val="1"/>
          <w:iCs w:val="1"/>
          <w:color w:val="auto"/>
        </w:rPr>
        <w:t>[Signatures Follow]</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225" w:right="45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DocuSign Envelope ID: 118F1C3C-AB1A-4635-B0F9-E8EBF3E1D40D</w:t>
      </w:r>
    </w:p>
    <w:p>
      <w:pPr>
        <w:spacing w:after="0" w:line="200" w:lineRule="exact"/>
        <w:rPr>
          <w:sz w:val="20"/>
          <w:szCs w:val="20"/>
          <w:color w:val="auto"/>
        </w:rPr>
      </w:pPr>
    </w:p>
    <w:p>
      <w:pPr>
        <w:spacing w:after="0" w:line="319" w:lineRule="exact"/>
        <w:rPr>
          <w:sz w:val="20"/>
          <w:szCs w:val="20"/>
          <w:color w:val="auto"/>
        </w:rPr>
      </w:pPr>
    </w:p>
    <w:p>
      <w:pPr>
        <w:ind w:left="1240" w:firstLine="747"/>
        <w:spacing w:after="0" w:line="246" w:lineRule="auto"/>
        <w:rPr>
          <w:sz w:val="20"/>
          <w:szCs w:val="20"/>
          <w:color w:val="auto"/>
        </w:rPr>
      </w:pPr>
      <w:r>
        <w:rPr>
          <w:rFonts w:ascii="Arial" w:cs="Arial" w:eastAsia="Arial" w:hAnsi="Arial"/>
          <w:sz w:val="20"/>
          <w:szCs w:val="20"/>
          <w:color w:val="auto"/>
        </w:rPr>
        <w:t>IN WITNESS WHEREOF, the Parties have executed this Eighth Amendment to License, Collaboration, and Option Agreement through their duly authorized representatives.</w:t>
      </w:r>
    </w:p>
    <w:p>
      <w:pPr>
        <w:spacing w:after="0" w:line="198"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Sarepta Therapeutics Three, LLC</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Adam Hopkin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Adam Hopkin</w:t>
      </w:r>
    </w:p>
    <w:p>
      <w:pPr>
        <w:ind w:left="1160"/>
        <w:spacing w:after="0"/>
        <w:rPr>
          <w:sz w:val="20"/>
          <w:szCs w:val="20"/>
          <w:color w:val="auto"/>
        </w:rPr>
      </w:pPr>
      <w:r>
        <w:rPr>
          <w:rFonts w:ascii="Arial" w:cs="Arial" w:eastAsia="Arial" w:hAnsi="Arial"/>
          <w:sz w:val="20"/>
          <w:szCs w:val="20"/>
          <w:color w:val="auto"/>
        </w:rPr>
        <w:t>Title: Manager</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F. Hoffmann-La Roche Ltd</w:t>
      </w:r>
    </w:p>
    <w:p>
      <w:pPr>
        <w:spacing w:after="0" w:line="2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Claire Steers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Claire Steers</w:t>
      </w:r>
    </w:p>
    <w:p>
      <w:pPr>
        <w:ind w:left="1160"/>
        <w:spacing w:after="0"/>
        <w:rPr>
          <w:sz w:val="20"/>
          <w:szCs w:val="20"/>
          <w:color w:val="auto"/>
        </w:rPr>
      </w:pPr>
      <w:r>
        <w:rPr>
          <w:rFonts w:ascii="Arial" w:cs="Arial" w:eastAsia="Arial" w:hAnsi="Arial"/>
          <w:sz w:val="20"/>
          <w:szCs w:val="20"/>
          <w:color w:val="auto"/>
        </w:rPr>
        <w:t>Title: Global Alliance Director</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Franziska Baechler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Franziska Baechler</w:t>
      </w:r>
    </w:p>
    <w:p>
      <w:pPr>
        <w:ind w:left="1160"/>
        <w:spacing w:after="0"/>
        <w:rPr>
          <w:sz w:val="20"/>
          <w:szCs w:val="20"/>
          <w:color w:val="auto"/>
        </w:rPr>
      </w:pPr>
      <w:r>
        <w:rPr>
          <w:rFonts w:ascii="Arial" w:cs="Arial" w:eastAsia="Arial" w:hAnsi="Arial"/>
          <w:sz w:val="20"/>
          <w:szCs w:val="20"/>
          <w:color w:val="auto"/>
        </w:rPr>
        <w:t>Title: Attorney-at-Law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Arial" w:cs="Arial" w:eastAsia="Arial" w:hAnsi="Arial"/>
          <w:sz w:val="20"/>
          <w:szCs w:val="20"/>
          <w:i w:val="1"/>
          <w:iCs w:val="1"/>
          <w:color w:val="auto"/>
        </w:rPr>
        <w:t>[Signature Page To Eighth Amendment To License, Collaboration,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 w:right="37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10.65</w:t>
      </w:r>
    </w:p>
    <w:p>
      <w:pPr>
        <w:spacing w:after="0" w:line="200" w:lineRule="exact"/>
        <w:rPr>
          <w:sz w:val="20"/>
          <w:szCs w:val="20"/>
          <w:color w:val="auto"/>
        </w:rPr>
      </w:pPr>
    </w:p>
    <w:p>
      <w:pPr>
        <w:spacing w:after="0" w:line="266" w:lineRule="exact"/>
        <w:rPr>
          <w:sz w:val="20"/>
          <w:szCs w:val="20"/>
          <w:color w:val="auto"/>
        </w:rPr>
      </w:pPr>
    </w:p>
    <w:p>
      <w:pPr>
        <w:ind w:left="1980" w:right="2420" w:firstLine="1716"/>
        <w:spacing w:after="0" w:line="367" w:lineRule="auto"/>
        <w:rPr>
          <w:sz w:val="20"/>
          <w:szCs w:val="20"/>
          <w:color w:val="auto"/>
        </w:rPr>
      </w:pPr>
      <w:r>
        <w:rPr>
          <w:rFonts w:ascii="Arial" w:cs="Arial" w:eastAsia="Arial" w:hAnsi="Arial"/>
          <w:sz w:val="19"/>
          <w:szCs w:val="19"/>
          <w:b w:val="1"/>
          <w:bCs w:val="1"/>
          <w:color w:val="auto"/>
        </w:rPr>
        <w:t xml:space="preserve">SEPARATION AGREEMENT AND GENERAL RELEASE </w:t>
      </w:r>
      <w:r>
        <w:rPr>
          <w:rFonts w:ascii="Arial" w:cs="Arial" w:eastAsia="Arial" w:hAnsi="Arial"/>
          <w:sz w:val="19"/>
          <w:szCs w:val="19"/>
          <w:color w:val="auto"/>
        </w:rPr>
        <w:t>This Separation Agreement and General Release (the “Agreement”) by and</w:t>
      </w:r>
    </w:p>
    <w:p>
      <w:pPr>
        <w:spacing w:after="0" w:line="2" w:lineRule="exact"/>
        <w:rPr>
          <w:sz w:val="20"/>
          <w:szCs w:val="20"/>
          <w:color w:val="auto"/>
        </w:rPr>
      </w:pPr>
    </w:p>
    <w:p>
      <w:pPr>
        <w:ind w:left="1240" w:right="1060"/>
        <w:spacing w:after="0" w:line="231" w:lineRule="auto"/>
        <w:rPr>
          <w:sz w:val="20"/>
          <w:szCs w:val="20"/>
          <w:color w:val="auto"/>
        </w:rPr>
      </w:pPr>
      <w:r>
        <w:rPr>
          <w:rFonts w:ascii="Arial" w:cs="Arial" w:eastAsia="Arial" w:hAnsi="Arial"/>
          <w:sz w:val="20"/>
          <w:szCs w:val="20"/>
          <w:color w:val="auto"/>
        </w:rPr>
        <w:t>between Gilmore O’Neill (“Employee”) and Sarepta Therapeutics, Inc. (the “Company”), is made effective as of the date following Employee’s signature and the expiration of the seven (7) day revocation period without revocation (the “Effective Date”) with reference to the following facts:</w:t>
      </w:r>
    </w:p>
    <w:p>
      <w:pPr>
        <w:spacing w:after="0" w:line="184" w:lineRule="exact"/>
        <w:rPr>
          <w:sz w:val="20"/>
          <w:szCs w:val="20"/>
          <w:color w:val="auto"/>
        </w:rPr>
      </w:pPr>
    </w:p>
    <w:p>
      <w:pPr>
        <w:ind w:left="2320" w:right="1420" w:hanging="332"/>
        <w:spacing w:after="0" w:line="246" w:lineRule="auto"/>
        <w:tabs>
          <w:tab w:leader="none" w:pos="23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Employee and Company entered into an Employment Agreement (“Employment Agreement”) dated June 7, 2018.</w:t>
      </w:r>
    </w:p>
    <w:p>
      <w:pPr>
        <w:spacing w:after="0" w:line="163" w:lineRule="exact"/>
        <w:rPr>
          <w:rFonts w:ascii="Arial" w:cs="Arial" w:eastAsia="Arial" w:hAnsi="Arial"/>
          <w:sz w:val="20"/>
          <w:szCs w:val="20"/>
          <w:color w:val="auto"/>
        </w:rPr>
      </w:pPr>
    </w:p>
    <w:p>
      <w:pPr>
        <w:ind w:left="2360" w:right="380" w:hanging="372"/>
        <w:spacing w:after="0" w:line="260" w:lineRule="auto"/>
        <w:tabs>
          <w:tab w:leader="none" w:pos="23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Pursuant to the Employment Agreement, Employee has been employed by the Company as Executive Vice President, Research and Development, Chief Medical Officer since 2018.</w:t>
      </w:r>
    </w:p>
    <w:p>
      <w:pPr>
        <w:spacing w:after="0" w:line="203" w:lineRule="exact"/>
        <w:rPr>
          <w:rFonts w:ascii="Arial" w:cs="Arial" w:eastAsia="Arial" w:hAnsi="Arial"/>
          <w:sz w:val="20"/>
          <w:szCs w:val="20"/>
          <w:color w:val="auto"/>
        </w:rPr>
      </w:pPr>
    </w:p>
    <w:p>
      <w:pPr>
        <w:ind w:left="2360" w:right="500" w:hanging="372"/>
        <w:spacing w:after="0" w:line="260" w:lineRule="auto"/>
        <w:tabs>
          <w:tab w:leader="none" w:pos="23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Employee’s period of employment is ending (without “Cause” as defined in Section 8 of the Employment Agreement) on November 30, 2021 (the “Separation Date”).</w:t>
      </w:r>
    </w:p>
    <w:p>
      <w:pPr>
        <w:spacing w:after="0" w:line="217" w:lineRule="exact"/>
        <w:rPr>
          <w:rFonts w:ascii="Arial" w:cs="Arial" w:eastAsia="Arial" w:hAnsi="Arial"/>
          <w:sz w:val="20"/>
          <w:szCs w:val="20"/>
          <w:color w:val="auto"/>
        </w:rPr>
      </w:pPr>
    </w:p>
    <w:p>
      <w:pPr>
        <w:jc w:val="both"/>
        <w:ind w:left="2340" w:right="500" w:hanging="352"/>
        <w:spacing w:after="0" w:line="300" w:lineRule="auto"/>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wishes to continue to retain Employee as a consultant after the Separation Date, and Employee is willing to provide, the Transition Services (as defined below) as set forth in this Agreement.</w:t>
      </w:r>
    </w:p>
    <w:p>
      <w:pPr>
        <w:spacing w:after="0" w:line="157" w:lineRule="exact"/>
        <w:rPr>
          <w:rFonts w:ascii="Arial" w:cs="Arial" w:eastAsia="Arial" w:hAnsi="Arial"/>
          <w:sz w:val="18"/>
          <w:szCs w:val="18"/>
          <w:color w:val="auto"/>
        </w:rPr>
      </w:pPr>
    </w:p>
    <w:p>
      <w:pPr>
        <w:ind w:left="2340" w:right="840" w:hanging="352"/>
        <w:spacing w:after="0" w:line="237" w:lineRule="auto"/>
        <w:tabs>
          <w:tab w:leader="none" w:pos="23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Employee and the Company want to end their relationship amicably and memorialize the respective rights and obligations of the parties including, without limitation, prompt payment of all amounts due and owing to the Employee.</w:t>
      </w:r>
    </w:p>
    <w:p>
      <w:pPr>
        <w:spacing w:after="0" w:line="183" w:lineRule="exact"/>
        <w:rPr>
          <w:sz w:val="20"/>
          <w:szCs w:val="20"/>
          <w:color w:val="auto"/>
        </w:rPr>
      </w:pPr>
    </w:p>
    <w:p>
      <w:pPr>
        <w:ind w:left="1240" w:right="1560"/>
        <w:spacing w:after="0" w:line="368" w:lineRule="auto"/>
        <w:rPr>
          <w:sz w:val="20"/>
          <w:szCs w:val="20"/>
          <w:color w:val="auto"/>
        </w:rPr>
      </w:pPr>
      <w:r>
        <w:rPr>
          <w:rFonts w:ascii="Arial" w:cs="Arial" w:eastAsia="Arial" w:hAnsi="Arial"/>
          <w:sz w:val="16"/>
          <w:szCs w:val="16"/>
          <w:color w:val="auto"/>
        </w:rPr>
        <w:t>NOW, THEREFORE, inconsideration of the agreements hereinafter set forth, and based upon the forgoing recitals, each of which are accepted as an integral part of this Agreement, the parties agree, as follows:</w:t>
      </w:r>
    </w:p>
    <w:p>
      <w:pPr>
        <w:spacing w:after="0" w:line="97" w:lineRule="exact"/>
        <w:rPr>
          <w:sz w:val="20"/>
          <w:szCs w:val="20"/>
          <w:color w:val="auto"/>
        </w:rPr>
      </w:pPr>
    </w:p>
    <w:p>
      <w:pPr>
        <w:ind w:left="2360" w:right="160" w:hanging="372"/>
        <w:spacing w:after="0" w:line="263" w:lineRule="auto"/>
        <w:tabs>
          <w:tab w:leader="none" w:pos="23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Separation Date</w:t>
      </w:r>
      <w:r>
        <w:rPr>
          <w:rFonts w:ascii="Arial" w:cs="Arial" w:eastAsia="Arial" w:hAnsi="Arial"/>
          <w:sz w:val="18"/>
          <w:szCs w:val="18"/>
          <w:color w:val="auto"/>
        </w:rPr>
        <w:t>. Employee acknowledges and agrees that his/her status as an employee of the Company ends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the Separation Date. Employee hereby agrees to execute such further document(s) as shall be determined by the Company as reasonably necessary or desirable to give effect to the termination of Employee’s status as an employee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documents shall not be inconsistent with any of the terms of this Agreement or any other written agreement signed by both parties.</w:t>
      </w:r>
    </w:p>
    <w:p>
      <w:pPr>
        <w:spacing w:after="0" w:line="148" w:lineRule="exact"/>
        <w:rPr>
          <w:rFonts w:ascii="Arial" w:cs="Arial" w:eastAsia="Arial" w:hAnsi="Arial"/>
          <w:sz w:val="18"/>
          <w:szCs w:val="18"/>
          <w:color w:val="auto"/>
        </w:rPr>
      </w:pPr>
    </w:p>
    <w:p>
      <w:pPr>
        <w:ind w:left="2360" w:right="320" w:hanging="372"/>
        <w:spacing w:after="0" w:line="232" w:lineRule="auto"/>
        <w:tabs>
          <w:tab w:leader="none" w:pos="2360" w:val="left"/>
        </w:tabs>
        <w:numPr>
          <w:ilvl w:val="0"/>
          <w:numId w:val="93"/>
        </w:numPr>
        <w:rPr>
          <w:rFonts w:ascii="Arial" w:cs="Arial" w:eastAsia="Arial" w:hAnsi="Arial"/>
          <w:sz w:val="20"/>
          <w:szCs w:val="20"/>
          <w:color w:val="auto"/>
        </w:rPr>
      </w:pPr>
      <w:r>
        <w:rPr>
          <w:rFonts w:ascii="Arial" w:cs="Arial" w:eastAsia="Arial" w:hAnsi="Arial"/>
          <w:sz w:val="20"/>
          <w:szCs w:val="20"/>
          <w:i w:val="1"/>
          <w:iCs w:val="1"/>
          <w:color w:val="auto"/>
        </w:rPr>
        <w:t>Severance Benefits</w:t>
      </w:r>
      <w:r>
        <w:rPr>
          <w:rFonts w:ascii="Arial" w:cs="Arial" w:eastAsia="Arial" w:hAnsi="Arial"/>
          <w:sz w:val="20"/>
          <w:szCs w:val="20"/>
          <w:color w:val="auto"/>
        </w:rPr>
        <w:t>. The Company hereby agrees, subject to(i) Employee’s signing of this Agreement and</w:t>
      </w:r>
      <w:r>
        <w:rPr>
          <w:rFonts w:ascii="Arial" w:cs="Arial" w:eastAsia="Arial" w:hAnsi="Arial"/>
          <w:sz w:val="20"/>
          <w:szCs w:val="20"/>
          <w:i w:val="1"/>
          <w:iCs w:val="1"/>
          <w:color w:val="auto"/>
        </w:rPr>
        <w:t xml:space="preserve"> </w:t>
      </w:r>
      <w:r>
        <w:rPr>
          <w:rFonts w:ascii="Arial" w:cs="Arial" w:eastAsia="Arial" w:hAnsi="Arial"/>
          <w:sz w:val="20"/>
          <w:szCs w:val="20"/>
          <w:color w:val="auto"/>
        </w:rPr>
        <w:t>not revoking this Agreement pursuant to Section 4(b) below, (ii) Employee’s performance of his/her continuing obligations under Sections 11 and 12 of the Employment Agreement, and under the Confidential Proprietary Rights and Non-Disclosure Agreement, to provide to Employee the following payments and benefits:</w:t>
      </w:r>
    </w:p>
    <w:p>
      <w:pPr>
        <w:spacing w:after="0" w:line="184" w:lineRule="exact"/>
        <w:rPr>
          <w:rFonts w:ascii="Arial" w:cs="Arial" w:eastAsia="Arial" w:hAnsi="Arial"/>
          <w:sz w:val="20"/>
          <w:szCs w:val="20"/>
          <w:color w:val="auto"/>
        </w:rPr>
      </w:pPr>
    </w:p>
    <w:p>
      <w:pPr>
        <w:ind w:left="3120" w:hanging="366"/>
        <w:spacing w:after="0"/>
        <w:tabs>
          <w:tab w:leader="none" w:pos="3120" w:val="left"/>
        </w:tabs>
        <w:numPr>
          <w:ilvl w:val="1"/>
          <w:numId w:val="93"/>
        </w:numPr>
        <w:rPr>
          <w:rFonts w:ascii="Arial" w:cs="Arial" w:eastAsia="Arial" w:hAnsi="Arial"/>
          <w:sz w:val="19"/>
          <w:szCs w:val="19"/>
          <w:color w:val="auto"/>
        </w:rPr>
      </w:pPr>
      <w:r>
        <w:rPr>
          <w:rFonts w:ascii="Arial" w:cs="Arial" w:eastAsia="Arial" w:hAnsi="Arial"/>
          <w:sz w:val="19"/>
          <w:szCs w:val="19"/>
          <w:i w:val="1"/>
          <w:iCs w:val="1"/>
          <w:color w:val="auto"/>
        </w:rPr>
        <w:t xml:space="preserve">Severance Payment. </w:t>
      </w:r>
      <w:r>
        <w:rPr>
          <w:rFonts w:ascii="Arial" w:cs="Arial" w:eastAsia="Arial" w:hAnsi="Arial"/>
          <w:sz w:val="19"/>
          <w:szCs w:val="19"/>
          <w:color w:val="auto"/>
        </w:rPr>
        <w:t>The Company shall pay Employee severance in an amount equal to the</w:t>
      </w:r>
    </w:p>
    <w:p>
      <w:pPr>
        <w:spacing w:after="0" w:line="14" w:lineRule="exact"/>
        <w:rPr>
          <w:sz w:val="20"/>
          <w:szCs w:val="20"/>
          <w:color w:val="auto"/>
        </w:rPr>
      </w:pPr>
    </w:p>
    <w:p>
      <w:pPr>
        <w:ind w:left="3120" w:right="320"/>
        <w:spacing w:after="0" w:line="229" w:lineRule="auto"/>
        <w:rPr>
          <w:sz w:val="20"/>
          <w:szCs w:val="20"/>
          <w:color w:val="auto"/>
        </w:rPr>
      </w:pPr>
      <w:r>
        <w:rPr>
          <w:rFonts w:ascii="Arial" w:cs="Arial" w:eastAsia="Arial" w:hAnsi="Arial"/>
          <w:sz w:val="20"/>
          <w:szCs w:val="20"/>
          <w:color w:val="auto"/>
        </w:rPr>
        <w:t>aggregate of his i) current base salary for twelve (12) months paid (less applicable tax-related deductions and withholdings) paid as a lump sum within two payroll periods following Separation Date, and ii) 100% of his/her Target Bonus for FY2021 in the amount of $</w:t>
      </w:r>
      <w:r>
        <w:rPr>
          <w:rFonts w:ascii="Arial" w:cs="Arial" w:eastAsia="Arial" w:hAnsi="Arial"/>
          <w:sz w:val="20"/>
          <w:szCs w:val="20"/>
          <w:u w:val="single" w:color="auto"/>
          <w:color w:val="auto"/>
        </w:rPr>
        <w:t>301,958.83,</w:t>
      </w:r>
      <w:r>
        <w:rPr>
          <w:rFonts w:ascii="Arial" w:cs="Arial" w:eastAsia="Arial" w:hAnsi="Arial"/>
          <w:sz w:val="20"/>
          <w:szCs w:val="20"/>
          <w:color w:val="auto"/>
        </w:rPr>
        <w:t xml:space="preserve"> paid as a lump sum within two payroll periods following Separation Date (collectively, the “Severance Pay”).</w:t>
      </w:r>
    </w:p>
    <w:p>
      <w:pPr>
        <w:spacing w:after="0" w:line="169"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i w:val="1"/>
          <w:iCs w:val="1"/>
          <w:color w:val="auto"/>
        </w:rPr>
        <w:t>Benefits</w:t>
      </w:r>
      <w:r>
        <w:rPr>
          <w:rFonts w:ascii="Arial" w:cs="Arial" w:eastAsia="Arial" w:hAnsi="Arial"/>
          <w:sz w:val="20"/>
          <w:szCs w:val="20"/>
          <w:color w:val="auto"/>
        </w:rPr>
        <w:t>. Employee will continue to be covered by the Company’s group medical,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186055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25" w:right="3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right="20"/>
        <w:spacing w:after="0" w:line="254" w:lineRule="auto"/>
        <w:rPr>
          <w:sz w:val="20"/>
          <w:szCs w:val="20"/>
          <w:color w:val="auto"/>
        </w:rPr>
      </w:pPr>
      <w:r>
        <w:rPr>
          <w:rFonts w:ascii="Arial" w:cs="Arial" w:eastAsia="Arial" w:hAnsi="Arial"/>
          <w:sz w:val="18"/>
          <w:szCs w:val="18"/>
          <w:color w:val="auto"/>
        </w:rPr>
        <w:t>dental and/or vision insurance plans (“Health Plans”) as currently elected by Employee through the Separation Date. Regardless of whether Employee executes this Agreement, the Employee’s rights to continue coverage under the Health Plans following the Separation Date shall be governed by the federal law known as COBRA (the terms regarding COBRA will be set forth in a separate written notice). Subject to Employee’s eligibility for, entitlement to, and timely election of continued coverage in Health Plans under COBRA, then during the period between December 1, 2021 and November 29, 2022 (the “COBRA Support Period”), Employee will be entitled to continued participation in Company’s Health Plans and the Company will directly pay the entire COBRA premium on the Employee’s behalf. At the end of the COBRA Support Period, the Company will no longer be obligated to pay premiums as described, and coverage under the Health Plans will be continued only to the extent required by COBRA and only to the extent that Employee timely pays the full premium amount required for COBRA continuation coverage of the Health Plans. Employee should consult the COBRA materials that will be provided under separate cover for details regarding eligibility for, and election of, COBRA continuation coverage of the Health Plans.</w:t>
      </w:r>
    </w:p>
    <w:p>
      <w:pPr>
        <w:spacing w:after="0" w:line="160" w:lineRule="exact"/>
        <w:rPr>
          <w:sz w:val="20"/>
          <w:szCs w:val="20"/>
          <w:color w:val="auto"/>
        </w:rPr>
      </w:pPr>
    </w:p>
    <w:p>
      <w:pPr>
        <w:ind w:left="3140" w:right="160" w:hanging="386"/>
        <w:spacing w:after="0" w:line="268" w:lineRule="auto"/>
        <w:tabs>
          <w:tab w:leader="none" w:pos="314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Equity. </w:t>
      </w:r>
      <w:r>
        <w:rPr>
          <w:rFonts w:ascii="Arial" w:cs="Arial" w:eastAsia="Arial" w:hAnsi="Arial"/>
          <w:sz w:val="17"/>
          <w:szCs w:val="17"/>
          <w:color w:val="auto"/>
        </w:rPr>
        <w:t>The outstanding equity awards (“Equity Awards”) issued to Employee as of the Separation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as attached hereto in Exhibit A, shall continue to vest through the last day of the Transition Period (as defined below) in accordance with the Company’s 2018 Equity Incentive Plan, the Company’s Amended and Restated 2011 Equity Incentive Plan, and the Company’s 2014 Employment Commencement Incentive Plan, as amended (collectively, the “Equity Agreement”). Employee shall have no less than 12 months from the Separation Date (but in no event beyond the remaining term of such Equity Awards) to exercise any Equity Awards already vested as of Separation Date. Equity Awards that vest during the Transition Period shall be exercisable during the 90-day period following the termination of the Transition Period. All unvested Equity Awards as of the termination of the Consulting Period shall be immediately cancelled and forfeited</w:t>
      </w:r>
      <w:r>
        <w:rPr>
          <w:rFonts w:ascii="Arial" w:cs="Arial" w:eastAsia="Arial" w:hAnsi="Arial"/>
          <w:sz w:val="18"/>
          <w:szCs w:val="18"/>
          <w:color w:val="auto"/>
        </w:rPr>
        <w:t>.</w:t>
      </w:r>
      <w:r>
        <w:rPr>
          <w:rFonts w:ascii="Arial" w:cs="Arial" w:eastAsia="Arial" w:hAnsi="Arial"/>
          <w:sz w:val="17"/>
          <w:szCs w:val="17"/>
          <w:color w:val="auto"/>
        </w:rPr>
        <w:t xml:space="preserve"> Employee’s rights with respect to Equity Awards giantdom/her shall be governed by the Equity Agreement, provided that nothing therein shall be construed in a manner that reduces the period of</w:t>
      </w:r>
    </w:p>
    <w:p>
      <w:pPr>
        <w:spacing w:after="0" w:line="3" w:lineRule="exact"/>
        <w:rPr>
          <w:sz w:val="20"/>
          <w:szCs w:val="20"/>
          <w:color w:val="auto"/>
        </w:rPr>
      </w:pPr>
    </w:p>
    <w:p>
      <w:pPr>
        <w:ind w:left="3140"/>
        <w:spacing w:after="0" w:line="241" w:lineRule="auto"/>
        <w:rPr>
          <w:sz w:val="20"/>
          <w:szCs w:val="20"/>
          <w:color w:val="auto"/>
        </w:rPr>
      </w:pPr>
      <w:r>
        <w:rPr>
          <w:rFonts w:ascii="Arial" w:cs="Arial" w:eastAsia="Arial" w:hAnsi="Arial"/>
          <w:sz w:val="19"/>
          <w:szCs w:val="19"/>
          <w:color w:val="auto"/>
        </w:rPr>
        <w:t>continued vesting or the period of exercisability identified in this Section 2(b). Employee acknowledges and agrees that except as otherwise stated in this paragraph, he/she does not now, and will not in the future, have rights to vest in any other stock options or equity under any stock option or other equity plan (of whatever name or kind) that Employee participated in, or was eligible to participate in, during his/her employment with the Company.</w:t>
      </w:r>
    </w:p>
    <w:p>
      <w:pPr>
        <w:spacing w:after="0" w:line="197" w:lineRule="exact"/>
        <w:rPr>
          <w:sz w:val="20"/>
          <w:szCs w:val="20"/>
          <w:color w:val="auto"/>
        </w:rPr>
      </w:pPr>
    </w:p>
    <w:p>
      <w:pPr>
        <w:ind w:left="3140" w:right="60" w:hanging="386"/>
        <w:spacing w:after="0" w:line="263" w:lineRule="auto"/>
        <w:tabs>
          <w:tab w:leader="none" w:pos="31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Outplacement Services</w:t>
      </w:r>
      <w:r>
        <w:rPr>
          <w:rFonts w:ascii="Arial" w:cs="Arial" w:eastAsia="Arial" w:hAnsi="Arial"/>
          <w:sz w:val="18"/>
          <w:szCs w:val="18"/>
          <w:color w:val="auto"/>
        </w:rPr>
        <w:t>. Should Employee choose to elect them, Company will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outplacement services at a level commensurate with Employee’s position in accordance with the Company’s practices as in effect from time to time provided that the cost of such outplacement shall not exceed$20,000.00; and provided, further, that such outplacement benefits shall end not later than the last day of the second calendar year that begins after the Separation Date.</w:t>
      </w:r>
    </w:p>
    <w:p>
      <w:pPr>
        <w:spacing w:after="0" w:line="202" w:lineRule="exact"/>
        <w:rPr>
          <w:rFonts w:ascii="Arial" w:cs="Arial" w:eastAsia="Arial" w:hAnsi="Arial"/>
          <w:sz w:val="18"/>
          <w:szCs w:val="18"/>
          <w:color w:val="auto"/>
        </w:rPr>
      </w:pPr>
    </w:p>
    <w:p>
      <w:pPr>
        <w:ind w:left="3120" w:right="580" w:hanging="366"/>
        <w:spacing w:after="0" w:line="237" w:lineRule="auto"/>
        <w:tabs>
          <w:tab w:leader="none" w:pos="3120"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Section 9(c) of the Employment Agreement</w:t>
      </w:r>
      <w:r>
        <w:rPr>
          <w:rFonts w:ascii="Arial" w:cs="Arial" w:eastAsia="Arial" w:hAnsi="Arial"/>
          <w:sz w:val="20"/>
          <w:szCs w:val="20"/>
          <w:color w:val="auto"/>
        </w:rPr>
        <w:t>. Employee acknowledges and agrees that the</w:t>
      </w:r>
      <w:r>
        <w:rPr>
          <w:rFonts w:ascii="Arial" w:cs="Arial" w:eastAsia="Arial" w:hAnsi="Arial"/>
          <w:sz w:val="20"/>
          <w:szCs w:val="20"/>
          <w:i w:val="1"/>
          <w:iCs w:val="1"/>
          <w:color w:val="auto"/>
        </w:rPr>
        <w:t xml:space="preserve"> </w:t>
      </w:r>
      <w:r>
        <w:rPr>
          <w:rFonts w:ascii="Arial" w:cs="Arial" w:eastAsia="Arial" w:hAnsi="Arial"/>
          <w:sz w:val="20"/>
          <w:szCs w:val="20"/>
          <w:color w:val="auto"/>
        </w:rPr>
        <w:t>monetary and other benefits set forth in this Section 2, together with his rights under the 2014 Employment Commencement Incentive Plan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225" w:right="43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right="660"/>
        <w:spacing w:after="0" w:line="267" w:lineRule="auto"/>
        <w:rPr>
          <w:sz w:val="20"/>
          <w:szCs w:val="20"/>
          <w:color w:val="auto"/>
        </w:rPr>
      </w:pPr>
      <w:r>
        <w:rPr>
          <w:rFonts w:ascii="Arial" w:cs="Arial" w:eastAsia="Arial" w:hAnsi="Arial"/>
          <w:sz w:val="18"/>
          <w:szCs w:val="18"/>
          <w:color w:val="auto"/>
        </w:rPr>
        <w:t>Employee’s 12,000 Restricted Stock Units, which became fully vested on May 23, 2019, his rights as an option holder under the Equity Agreement, and his right to enhanced severance benefits in accordance with the Change in Control Severance Agreement, fully satisfy the Company’s obligations under Section 9(c) of the Employment Agreement.</w:t>
      </w:r>
    </w:p>
    <w:p>
      <w:pPr>
        <w:spacing w:after="0" w:line="159" w:lineRule="exact"/>
        <w:rPr>
          <w:sz w:val="20"/>
          <w:szCs w:val="20"/>
          <w:color w:val="auto"/>
        </w:rPr>
      </w:pPr>
    </w:p>
    <w:p>
      <w:pPr>
        <w:ind w:left="2380" w:hanging="392"/>
        <w:spacing w:after="0"/>
        <w:tabs>
          <w:tab w:leader="none" w:pos="2380" w:val="left"/>
        </w:tabs>
        <w:numPr>
          <w:ilvl w:val="0"/>
          <w:numId w:val="96"/>
        </w:numPr>
        <w:rPr>
          <w:rFonts w:ascii="Arial" w:cs="Arial" w:eastAsia="Arial" w:hAnsi="Arial"/>
          <w:sz w:val="20"/>
          <w:szCs w:val="20"/>
          <w:color w:val="auto"/>
        </w:rPr>
      </w:pPr>
      <w:r>
        <w:rPr>
          <w:rFonts w:ascii="Arial" w:cs="Arial" w:eastAsia="Arial" w:hAnsi="Arial"/>
          <w:sz w:val="20"/>
          <w:szCs w:val="20"/>
          <w:i w:val="1"/>
          <w:iCs w:val="1"/>
          <w:color w:val="auto"/>
        </w:rPr>
        <w:t>Final Paycheck; Payment of Accrued Wages and Expenses</w:t>
      </w:r>
    </w:p>
    <w:p>
      <w:pPr>
        <w:spacing w:after="0" w:line="26" w:lineRule="exact"/>
        <w:rPr>
          <w:rFonts w:ascii="Arial" w:cs="Arial" w:eastAsia="Arial" w:hAnsi="Arial"/>
          <w:sz w:val="20"/>
          <w:szCs w:val="20"/>
          <w:color w:val="auto"/>
        </w:rPr>
      </w:pPr>
    </w:p>
    <w:p>
      <w:pPr>
        <w:ind w:left="3140" w:right="1500" w:hanging="386"/>
        <w:spacing w:after="0" w:line="275" w:lineRule="auto"/>
        <w:tabs>
          <w:tab w:leader="none" w:pos="314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Final Paycheck</w:t>
      </w:r>
      <w:r>
        <w:rPr>
          <w:rFonts w:ascii="Arial" w:cs="Arial" w:eastAsia="Arial" w:hAnsi="Arial"/>
          <w:sz w:val="18"/>
          <w:szCs w:val="18"/>
          <w:color w:val="auto"/>
        </w:rPr>
        <w:t>. Employee acknowledges that he is entitled to receive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(a)unpaid regular wages plus any accrued but unused vacation time (totaling</w:t>
      </w:r>
    </w:p>
    <w:p>
      <w:pPr>
        <w:ind w:left="3140" w:right="360"/>
        <w:spacing w:after="0" w:line="258" w:lineRule="auto"/>
        <w:rPr>
          <w:rFonts w:ascii="Arial" w:cs="Arial" w:eastAsia="Arial" w:hAnsi="Arial"/>
          <w:sz w:val="18"/>
          <w:szCs w:val="18"/>
          <w:color w:val="auto"/>
        </w:rPr>
      </w:pPr>
      <w:r>
        <w:rPr>
          <w:rFonts w:ascii="Arial" w:cs="Arial" w:eastAsia="Arial" w:hAnsi="Arial"/>
          <w:sz w:val="18"/>
          <w:szCs w:val="18"/>
          <w:color w:val="auto"/>
        </w:rPr>
        <w:t>139.12 hours) through the Separation Date; and(b) any other monies under any other form of compensation or benefit that was due to Employee in connection with his/her employment with, or separation of employment from, the Company, excluding any entitlement under this Agreement and the Equity Agreement in relation to his Equity Awards. Employee is entitled to these payments regardless of whether Employee executes this Agreement.</w:t>
      </w:r>
    </w:p>
    <w:p>
      <w:pPr>
        <w:spacing w:after="0" w:line="180" w:lineRule="exact"/>
        <w:rPr>
          <w:rFonts w:ascii="Arial" w:cs="Arial" w:eastAsia="Arial" w:hAnsi="Arial"/>
          <w:sz w:val="18"/>
          <w:szCs w:val="18"/>
          <w:color w:val="auto"/>
        </w:rPr>
      </w:pPr>
    </w:p>
    <w:p>
      <w:pPr>
        <w:ind w:left="3120" w:right="360" w:hanging="366"/>
        <w:spacing w:after="0" w:line="258" w:lineRule="auto"/>
        <w:tabs>
          <w:tab w:leader="none" w:pos="312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The Company shall reimburse Employee for all outstanding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prior to the Separation Date that are consistent with the Company’s policies in effect from time to time with respect to travel and other business expenses, subject to the Company’s written requirements in effect at the time of the Separation Date with respect to reporting and documenting such expenses. Employee shall submit for reimbursement all outstanding expenses incurred by the Separation Date on or before November 30, 2021. Employee is entitled to these payments regardless of whether Employee executes this Agreement.</w:t>
      </w:r>
    </w:p>
    <w:p>
      <w:pPr>
        <w:spacing w:after="0" w:line="157" w:lineRule="exact"/>
        <w:rPr>
          <w:sz w:val="20"/>
          <w:szCs w:val="20"/>
          <w:color w:val="auto"/>
        </w:rPr>
      </w:pPr>
    </w:p>
    <w:p>
      <w:pPr>
        <w:ind w:left="3140" w:hanging="402"/>
        <w:spacing w:after="0"/>
        <w:tabs>
          <w:tab w:leader="none" w:pos="3140" w:val="left"/>
        </w:tabs>
        <w:numPr>
          <w:ilvl w:val="0"/>
          <w:numId w:val="97"/>
        </w:numPr>
        <w:rPr>
          <w:rFonts w:ascii="Arial" w:cs="Arial" w:eastAsia="Arial" w:hAnsi="Arial"/>
          <w:sz w:val="20"/>
          <w:szCs w:val="20"/>
          <w:color w:val="auto"/>
        </w:rPr>
      </w:pPr>
      <w:r>
        <w:rPr>
          <w:rFonts w:ascii="Arial" w:cs="Arial" w:eastAsia="Arial" w:hAnsi="Arial"/>
          <w:sz w:val="20"/>
          <w:szCs w:val="20"/>
          <w:i w:val="1"/>
          <w:iCs w:val="1"/>
          <w:color w:val="auto"/>
        </w:rPr>
        <w:t xml:space="preserve">“Accrued Benefits.” </w:t>
      </w:r>
      <w:r>
        <w:rPr>
          <w:rFonts w:ascii="Arial" w:cs="Arial" w:eastAsia="Arial" w:hAnsi="Arial"/>
          <w:sz w:val="20"/>
          <w:szCs w:val="20"/>
          <w:color w:val="auto"/>
        </w:rPr>
        <w:t>Employee acknowledges that with the payments described in</w:t>
      </w:r>
    </w:p>
    <w:p>
      <w:pPr>
        <w:spacing w:after="0" w:line="15" w:lineRule="exact"/>
        <w:rPr>
          <w:rFonts w:ascii="Arial" w:cs="Arial" w:eastAsia="Arial" w:hAnsi="Arial"/>
          <w:sz w:val="20"/>
          <w:szCs w:val="20"/>
          <w:color w:val="auto"/>
        </w:rPr>
      </w:pPr>
    </w:p>
    <w:p>
      <w:pPr>
        <w:ind w:left="3440" w:hanging="303"/>
        <w:spacing w:after="0"/>
        <w:tabs>
          <w:tab w:leader="none" w:pos="34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and (b) of this Section 3, he will have received all “Accrued Benefits” to which he</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is entitled under Section 9(c)(I) of his Employment Agreement.</w:t>
      </w:r>
    </w:p>
    <w:p>
      <w:pPr>
        <w:spacing w:after="0" w:line="235" w:lineRule="exact"/>
        <w:rPr>
          <w:sz w:val="20"/>
          <w:szCs w:val="20"/>
          <w:color w:val="auto"/>
        </w:rPr>
      </w:pPr>
    </w:p>
    <w:p>
      <w:pPr>
        <w:ind w:left="2360" w:right="300" w:hanging="372"/>
        <w:spacing w:after="0" w:line="260" w:lineRule="auto"/>
        <w:tabs>
          <w:tab w:leader="none" w:pos="2360" w:val="left"/>
        </w:tabs>
        <w:numPr>
          <w:ilvl w:val="0"/>
          <w:numId w:val="98"/>
        </w:numPr>
        <w:rPr>
          <w:rFonts w:ascii="Arial" w:cs="Arial" w:eastAsia="Arial" w:hAnsi="Arial"/>
          <w:sz w:val="20"/>
          <w:szCs w:val="20"/>
          <w:color w:val="auto"/>
        </w:rPr>
      </w:pPr>
      <w:r>
        <w:rPr>
          <w:rFonts w:ascii="Arial" w:cs="Arial" w:eastAsia="Arial" w:hAnsi="Arial"/>
          <w:sz w:val="20"/>
          <w:szCs w:val="20"/>
          <w:i w:val="1"/>
          <w:iCs w:val="1"/>
          <w:color w:val="auto"/>
        </w:rPr>
        <w:t>Employee’s Release of the Company</w:t>
      </w:r>
      <w:r>
        <w:rPr>
          <w:rFonts w:ascii="Arial" w:cs="Arial" w:eastAsia="Arial" w:hAnsi="Arial"/>
          <w:sz w:val="20"/>
          <w:szCs w:val="20"/>
          <w:color w:val="auto"/>
        </w:rPr>
        <w:t>. In exchange for Severance Benefits described in Section 2 above, the</w:t>
      </w:r>
      <w:r>
        <w:rPr>
          <w:rFonts w:ascii="Arial" w:cs="Arial" w:eastAsia="Arial" w:hAnsi="Arial"/>
          <w:sz w:val="20"/>
          <w:szCs w:val="20"/>
          <w:i w:val="1"/>
          <w:iCs w:val="1"/>
          <w:color w:val="auto"/>
        </w:rPr>
        <w:t xml:space="preserve"> </w:t>
      </w:r>
      <w:r>
        <w:rPr>
          <w:rFonts w:ascii="Arial" w:cs="Arial" w:eastAsia="Arial" w:hAnsi="Arial"/>
          <w:sz w:val="20"/>
          <w:szCs w:val="20"/>
          <w:color w:val="auto"/>
        </w:rPr>
        <w:t>receipt and adequacy of which consideration is hereby acknowledged:</w:t>
      </w:r>
    </w:p>
    <w:p>
      <w:pPr>
        <w:spacing w:after="0" w:line="284" w:lineRule="exact"/>
        <w:rPr>
          <w:rFonts w:ascii="Arial" w:cs="Arial" w:eastAsia="Arial" w:hAnsi="Arial"/>
          <w:sz w:val="20"/>
          <w:szCs w:val="20"/>
          <w:color w:val="auto"/>
        </w:rPr>
      </w:pPr>
    </w:p>
    <w:p>
      <w:pPr>
        <w:ind w:left="3120" w:right="180" w:hanging="366"/>
        <w:spacing w:after="0" w:line="241" w:lineRule="auto"/>
        <w:tabs>
          <w:tab w:leader="none" w:pos="3120" w:val="left"/>
        </w:tabs>
        <w:numPr>
          <w:ilvl w:val="1"/>
          <w:numId w:val="98"/>
        </w:numPr>
        <w:rPr>
          <w:rFonts w:ascii="Arial" w:cs="Arial" w:eastAsia="Arial" w:hAnsi="Arial"/>
          <w:sz w:val="19"/>
          <w:szCs w:val="19"/>
          <w:color w:val="auto"/>
        </w:rPr>
      </w:pPr>
      <w:r>
        <w:rPr>
          <w:rFonts w:ascii="Arial" w:cs="Arial" w:eastAsia="Arial" w:hAnsi="Arial"/>
          <w:sz w:val="19"/>
          <w:szCs w:val="19"/>
          <w:color w:val="auto"/>
        </w:rPr>
        <w:t>Employee, on his/her own behalf and on behalf of his/her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(collectively,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Effective Date of this Agreement, including, without limitation:</w:t>
      </w:r>
    </w:p>
    <w:p>
      <w:pPr>
        <w:spacing w:after="0" w:line="182" w:lineRule="exact"/>
        <w:rPr>
          <w:rFonts w:ascii="Arial" w:cs="Arial" w:eastAsia="Arial" w:hAnsi="Arial"/>
          <w:sz w:val="19"/>
          <w:szCs w:val="19"/>
          <w:color w:val="auto"/>
        </w:rPr>
      </w:pPr>
    </w:p>
    <w:p>
      <w:pPr>
        <w:ind w:left="3880" w:hanging="510"/>
        <w:spacing w:after="0" w:line="237" w:lineRule="auto"/>
        <w:tabs>
          <w:tab w:leader="none" w:pos="3880" w:val="left"/>
        </w:tabs>
        <w:numPr>
          <w:ilvl w:val="2"/>
          <w:numId w:val="98"/>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employment relationship with the Company and the termination of that relationship; any and all claims for wrongful discharge of employment; termination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45720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225" w:right="45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auto"/>
        </w:rPr>
        <w:t>DocuSign Envelope ID: 09DF38C8-DF3F-4CFE-A990-D755920F43B3</w:t>
      </w:r>
    </w:p>
    <w:p>
      <w:pPr>
        <w:ind w:left="3880"/>
        <w:spacing w:after="0"/>
        <w:rPr>
          <w:sz w:val="20"/>
          <w:szCs w:val="20"/>
          <w:color w:val="auto"/>
        </w:rPr>
      </w:pPr>
      <w:r>
        <w:rPr>
          <w:rFonts w:ascii="Arial" w:cs="Arial" w:eastAsia="Arial" w:hAnsi="Arial"/>
          <w:sz w:val="19"/>
          <w:szCs w:val="19"/>
          <w:color w:val="auto"/>
        </w:rPr>
        <w:t>violation of public policy; discrimination; harassment; retaliation; breach of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880"/>
        <w:spacing w:after="0" w:line="255" w:lineRule="auto"/>
        <w:rPr>
          <w:sz w:val="20"/>
          <w:szCs w:val="20"/>
          <w:color w:val="auto"/>
        </w:rPr>
      </w:pPr>
      <w:r>
        <w:rPr>
          <w:rFonts w:ascii="Arial" w:cs="Arial" w:eastAsia="Arial" w:hAnsi="Arial"/>
          <w:sz w:val="18"/>
          <w:szCs w:val="18"/>
          <w:color w:val="auto"/>
        </w:rPr>
        <w:t>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w:t>
      </w:r>
    </w:p>
    <w:p>
      <w:pPr>
        <w:ind w:left="3880" w:right="480" w:hanging="510"/>
        <w:spacing w:after="0" w:line="225" w:lineRule="auto"/>
        <w:tabs>
          <w:tab w:leader="none" w:pos="3880" w:val="left"/>
        </w:tabs>
        <w:numPr>
          <w:ilvl w:val="1"/>
          <w:numId w:val="99"/>
        </w:numPr>
        <w:rPr>
          <w:rFonts w:ascii="Arial" w:cs="Arial" w:eastAsia="Arial" w:hAnsi="Arial"/>
          <w:sz w:val="20"/>
          <w:szCs w:val="20"/>
          <w:color w:val="auto"/>
        </w:rPr>
      </w:pPr>
      <w:r>
        <w:rPr>
          <w:rFonts w:ascii="Arial" w:cs="Arial" w:eastAsia="Arial" w:hAnsi="Arial"/>
          <w:sz w:val="20"/>
          <w:szCs w:val="20"/>
          <w:color w:val="auto"/>
        </w:rPr>
        <w:t>libel; slander; negligence; personal injury; assault; battery; invasion of privacy; false imprisonment; conversion; and disability benefits;</w:t>
      </w:r>
    </w:p>
    <w:p>
      <w:pPr>
        <w:ind w:left="3840" w:right="560" w:hanging="570"/>
        <w:spacing w:after="0" w:line="232" w:lineRule="auto"/>
        <w:tabs>
          <w:tab w:leader="none" w:pos="38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42</w:t>
      </w:r>
    </w:p>
    <w:p>
      <w:pPr>
        <w:ind w:left="3880"/>
        <w:spacing w:after="0"/>
        <w:rPr>
          <w:rFonts w:ascii="Arial" w:cs="Arial" w:eastAsia="Arial" w:hAnsi="Arial"/>
          <w:sz w:val="20"/>
          <w:szCs w:val="20"/>
          <w:color w:val="auto"/>
        </w:rPr>
      </w:pPr>
      <w:r>
        <w:rPr>
          <w:rFonts w:ascii="Arial" w:cs="Arial" w:eastAsia="Arial" w:hAnsi="Arial"/>
          <w:sz w:val="20"/>
          <w:szCs w:val="20"/>
          <w:color w:val="auto"/>
        </w:rPr>
        <w:t>U.S.C. § 2000e et seq., the Americans With Disabilities Act of 1990, 42 U.S.C.</w:t>
      </w:r>
    </w:p>
    <w:p>
      <w:pPr>
        <w:spacing w:after="0" w:line="4" w:lineRule="exact"/>
        <w:rPr>
          <w:sz w:val="20"/>
          <w:szCs w:val="20"/>
          <w:color w:val="auto"/>
        </w:rPr>
      </w:pPr>
    </w:p>
    <w:p>
      <w:pPr>
        <w:ind w:left="3880" w:right="480" w:firstLine="6"/>
        <w:spacing w:after="0" w:line="256" w:lineRule="auto"/>
        <w:tabs>
          <w:tab w:leader="none" w:pos="402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12101 et seq., the Age Discrimination in Employment Act, 29 U.S.C. § 621 et seq. (“ADEA”), the Genetic Information Nondiscrimination Act of 2008, 42</w:t>
      </w:r>
    </w:p>
    <w:p>
      <w:pPr>
        <w:spacing w:after="0" w:line="2" w:lineRule="exact"/>
        <w:rPr>
          <w:sz w:val="20"/>
          <w:szCs w:val="20"/>
          <w:color w:val="auto"/>
        </w:rPr>
      </w:pPr>
    </w:p>
    <w:p>
      <w:pPr>
        <w:ind w:left="3880" w:right="100"/>
        <w:spacing w:after="0" w:line="250" w:lineRule="auto"/>
        <w:rPr>
          <w:sz w:val="20"/>
          <w:szCs w:val="20"/>
          <w:color w:val="auto"/>
        </w:rPr>
      </w:pPr>
      <w:r>
        <w:rPr>
          <w:rFonts w:ascii="Arial" w:cs="Arial" w:eastAsia="Arial" w:hAnsi="Arial"/>
          <w:sz w:val="18"/>
          <w:szCs w:val="18"/>
          <w:color w:val="auto"/>
        </w:rPr>
        <w:t>U.S.C. § 2000ff et seq., the Family and Medical Leave Act, 29 U.S.C. § 2601 et seq., the Worker Adjustment and Retraining Notification Act (“WARN”), 29 U.S.C. § 2101 et seq., the Rehabilitation Act of 1973, 29 U.S.C. § 701 et seq., Executive Order 11246, Executive Order 11141, the Fair Credit Reporting Act, 15 U.S.C. § 1681 et seq., and the Employee Retirement Income Security Act of 1974 (“ERISA”), 29 U.S.C. § 1001 et seq., all as amended; all claims arising out of the Massachusetts Fair Employment Practices Act, Mass. Gen. Laws ch. 151B, § 1 et seq., the Massachusetts Civil Rights Act, Mass. Gen. Laws ch. 12, §§ 11H and 11I, the Massachusetts Equal Rights Act, Mass. Gen. Laws. ch. 93, § 102 and Mass. Gen. Laws ch. 214, § 1C, the Massachusetts Payment of Wages Law, Mass. Gen. Laws ch. 149, § 148 et seq. (including, but not limited to, any and all claims for wages, bonuses, commissions, vacation pay or any other type of compensation), the Massachusetts Right of Privacy Law, Mass. Gen. Laws ch. 214, § 1B, the Massachusetts Parental Leave Act, Mass. Gen. Laws ch. 149, § 105D, and the Massachusetts Small Necessities Leave Act, Mass. Gen. Laws ch. 149, § 52D, and the Massachusetts Family and Medical Leave law, Mass. Gen Laws. ch. 175M, § 1 et seq., all as amended;</w:t>
      </w:r>
    </w:p>
    <w:p>
      <w:pPr>
        <w:ind w:left="3880" w:hanging="610"/>
        <w:spacing w:after="0" w:line="231" w:lineRule="auto"/>
        <w:tabs>
          <w:tab w:leader="none" w:pos="38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ind w:left="3860" w:right="1340" w:hanging="540"/>
        <w:spacing w:after="0" w:line="232" w:lineRule="auto"/>
        <w:tabs>
          <w:tab w:leader="none" w:pos="3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and all claims arising out of any other laws and regulations relating to employment or employment discrimination;</w:t>
      </w:r>
    </w:p>
    <w:p>
      <w:pPr>
        <w:ind w:left="3840" w:right="500" w:hanging="570"/>
        <w:spacing w:after="0" w:line="225" w:lineRule="auto"/>
        <w:tabs>
          <w:tab w:leader="none" w:pos="384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Employee as a result of this Agreement;</w:t>
      </w:r>
    </w:p>
    <w:p>
      <w:pPr>
        <w:spacing w:after="0" w:line="1" w:lineRule="exact"/>
        <w:rPr>
          <w:rFonts w:ascii="Arial" w:cs="Arial" w:eastAsia="Arial" w:hAnsi="Arial"/>
          <w:sz w:val="20"/>
          <w:szCs w:val="20"/>
          <w:color w:val="auto"/>
        </w:rPr>
      </w:pPr>
    </w:p>
    <w:p>
      <w:pPr>
        <w:ind w:left="3860" w:right="180" w:hanging="640"/>
        <w:spacing w:after="0" w:line="225" w:lineRule="auto"/>
        <w:tabs>
          <w:tab w:leader="none" w:pos="38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all claims for breach of contract or of the implied covenant of good faith and fair dealing inherent in any contract between the parties;</w:t>
      </w:r>
    </w:p>
    <w:p>
      <w:pPr>
        <w:ind w:left="3860" w:hanging="590"/>
        <w:spacing w:after="0"/>
        <w:tabs>
          <w:tab w:leader="none" w:pos="38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all claims arising out of the Employment Agreement (excluding any right to enforce the</w:t>
      </w:r>
    </w:p>
    <w:p>
      <w:pPr>
        <w:ind w:left="3860"/>
        <w:spacing w:after="0" w:line="234" w:lineRule="auto"/>
        <w:rPr>
          <w:sz w:val="20"/>
          <w:szCs w:val="20"/>
          <w:color w:val="auto"/>
        </w:rPr>
      </w:pPr>
      <w:r>
        <w:rPr>
          <w:rFonts w:ascii="Arial" w:cs="Arial" w:eastAsia="Arial" w:hAnsi="Arial"/>
          <w:sz w:val="20"/>
          <w:szCs w:val="20"/>
          <w:color w:val="auto"/>
        </w:rPr>
        <w:t>indemnification provisions set forth in Sections 20 and 21 thereof); and</w:t>
      </w:r>
    </w:p>
    <w:p>
      <w:pPr>
        <w:spacing w:after="0" w:line="1" w:lineRule="exact"/>
        <w:rPr>
          <w:sz w:val="20"/>
          <w:szCs w:val="20"/>
          <w:color w:val="auto"/>
        </w:rPr>
      </w:pPr>
    </w:p>
    <w:p>
      <w:pPr>
        <w:ind w:left="3820" w:right="860" w:hanging="467"/>
        <w:spacing w:after="0" w:line="244" w:lineRule="auto"/>
        <w:tabs>
          <w:tab w:leader="none" w:pos="382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any and all claims for reasonable attorneys’ fees and costs incurred in relation to this Agreement, not to exceed $7,500.</w:t>
      </w:r>
    </w:p>
    <w:p>
      <w:pPr>
        <w:spacing w:after="0" w:line="245" w:lineRule="exact"/>
        <w:rPr>
          <w:rFonts w:ascii="Arial" w:cs="Arial" w:eastAsia="Arial" w:hAnsi="Arial"/>
          <w:sz w:val="20"/>
          <w:szCs w:val="20"/>
          <w:color w:val="auto"/>
        </w:rPr>
      </w:pPr>
    </w:p>
    <w:p>
      <w:pPr>
        <w:ind w:left="3120" w:right="400" w:hanging="366"/>
        <w:spacing w:after="0" w:line="246" w:lineRule="auto"/>
        <w:tabs>
          <w:tab w:leader="none" w:pos="31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Employee acknowledges that he/she is waiving and releasing any rights he/she may have under the ADEA, and that this waiver and release is knowing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221" w:right="49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DocuSign Envelope ID: 09DF38C8-DF3F-4CFE-A990-D755920F43B3</w:t>
      </w:r>
    </w:p>
    <w:p>
      <w:pPr>
        <w:ind w:left="3120" w:right="480"/>
        <w:spacing w:after="0" w:line="266" w:lineRule="auto"/>
        <w:rPr>
          <w:sz w:val="20"/>
          <w:szCs w:val="20"/>
          <w:color w:val="auto"/>
        </w:rPr>
      </w:pPr>
      <w:r>
        <w:rPr>
          <w:rFonts w:ascii="Arial" w:cs="Arial" w:eastAsia="Arial" w:hAnsi="Arial"/>
          <w:sz w:val="18"/>
          <w:szCs w:val="18"/>
          <w:color w:val="auto"/>
        </w:rPr>
        <w:t>voluntary. Employee acknowledges that this waiver and release does not apply to any rights or claims that may arise under the ADEA after the Effective Date of this Agreement. Employee acknowledges that the consideration given for this waiver and release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40" w:right="80"/>
        <w:spacing w:after="0" w:line="253" w:lineRule="auto"/>
        <w:rPr>
          <w:sz w:val="20"/>
          <w:szCs w:val="20"/>
          <w:color w:val="auto"/>
        </w:rPr>
      </w:pPr>
      <w:r>
        <w:rPr>
          <w:rFonts w:ascii="Arial" w:cs="Arial" w:eastAsia="Arial" w:hAnsi="Arial"/>
          <w:sz w:val="18"/>
          <w:szCs w:val="18"/>
          <w:color w:val="auto"/>
        </w:rPr>
        <w:t>in addition to anything of value to which Employee is entitled absent entering this Agreement. Employee further acknowledges that he/she has been advised by this writing that: (I) he/she should consult with an attorney prior to executing this Agreement; (ii) he/she has been given at least twenty-one (21) days within which to consider this Agreement; (iii) he/she has seven(7) days following his/her execution of this Agreement in which to revoke it; (iv) this Agreement shall not be effective until after the revocation period has expired and Employee will not receive the benefits of Sections 1(a) or 2 of this Agreement until such period has expired without revocation; and(v)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To revoke his/her acceptance of this Agreement, Employee must contact Ryan Brown,</w:t>
      </w:r>
    </w:p>
    <w:p>
      <w:pPr>
        <w:spacing w:after="0" w:line="5"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Senior Vice President and General Counsel, by email at RBrown@Sarepta.com</w:t>
      </w:r>
    </w:p>
    <w:p>
      <w:pPr>
        <w:ind w:left="3140" w:right="1300"/>
        <w:spacing w:after="0" w:line="234" w:lineRule="auto"/>
        <w:rPr>
          <w:sz w:val="20"/>
          <w:szCs w:val="20"/>
          <w:color w:val="auto"/>
        </w:rPr>
      </w:pPr>
      <w:r>
        <w:rPr>
          <w:rFonts w:ascii="Arial" w:cs="Arial" w:eastAsia="Arial" w:hAnsi="Arial"/>
          <w:sz w:val="20"/>
          <w:szCs w:val="20"/>
          <w:color w:val="auto"/>
        </w:rPr>
        <w:t>by no later than 5:00 P.M. Eastern Time on or before the seventh (7</w:t>
      </w:r>
      <w:r>
        <w:rPr>
          <w:rFonts w:ascii="Arial" w:cs="Arial" w:eastAsia="Arial" w:hAnsi="Arial"/>
          <w:sz w:val="12"/>
          <w:szCs w:val="12"/>
          <w:color w:val="auto"/>
        </w:rPr>
        <w:t>th</w:t>
      </w:r>
      <w:r>
        <w:rPr>
          <w:rFonts w:ascii="Arial" w:cs="Arial" w:eastAsia="Arial" w:hAnsi="Arial"/>
          <w:sz w:val="20"/>
          <w:szCs w:val="20"/>
          <w:color w:val="auto"/>
        </w:rPr>
        <w:t>) day following Employee’s signature of this Agreement.</w:t>
      </w:r>
    </w:p>
    <w:p>
      <w:pPr>
        <w:spacing w:after="0" w:line="170" w:lineRule="exact"/>
        <w:rPr>
          <w:sz w:val="20"/>
          <w:szCs w:val="20"/>
          <w:color w:val="auto"/>
        </w:rPr>
      </w:pPr>
    </w:p>
    <w:p>
      <w:pPr>
        <w:ind w:left="3140" w:right="100" w:hanging="386"/>
        <w:spacing w:after="0" w:line="292" w:lineRule="auto"/>
        <w:tabs>
          <w:tab w:leader="none" w:pos="31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giving this release, the Employee expressly waives and relinquishes all rights and benefits under any statute or other law, which provides that a general release does not extend to claims which the</w:t>
      </w:r>
    </w:p>
    <w:p>
      <w:pPr>
        <w:ind w:left="3140" w:right="260"/>
        <w:spacing w:after="0" w:line="231" w:lineRule="auto"/>
        <w:rPr>
          <w:sz w:val="20"/>
          <w:szCs w:val="20"/>
          <w:color w:val="auto"/>
        </w:rPr>
      </w:pPr>
      <w:r>
        <w:rPr>
          <w:rFonts w:ascii="Arial" w:cs="Arial" w:eastAsia="Arial" w:hAnsi="Arial"/>
          <w:sz w:val="20"/>
          <w:szCs w:val="20"/>
          <w:color w:val="auto"/>
        </w:rPr>
        <w:t>creditor/employee does not know or suspect to exist in his/her favor at the time of executing the release, which if known by him/her must have materially affected his/her settlement with the debtor/employer.</w:t>
      </w:r>
    </w:p>
    <w:p>
      <w:pPr>
        <w:spacing w:after="0" w:line="197" w:lineRule="exact"/>
        <w:rPr>
          <w:sz w:val="20"/>
          <w:szCs w:val="20"/>
          <w:color w:val="auto"/>
        </w:rPr>
      </w:pPr>
    </w:p>
    <w:p>
      <w:pPr>
        <w:ind w:left="3140" w:hanging="386"/>
        <w:spacing w:after="0" w:line="256" w:lineRule="auto"/>
        <w:tabs>
          <w:tab w:leader="none" w:pos="3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THISRELEASE CONTAINSA WAIVER OF RIGHTSUNDER THE MASSACHUSETTSWAGE ACT: Employee acknowledges, agrees and understands that employees have certain rights under the Massachusetts Wage Act, M.G.L. chapter 149 et seq. (the “MA Wage Act”) regarding when, how, and how much they must be paid, including but not limited to the right to be paid wages earned within timeframes provided in the MA Wage Act; that wages include amounts payable to employees for hours worked, which may include salaries, determined and due commissions, overtime pay, tips, and earned vacation or holiday payments due to employees under oral or written agreements; and that employees have the right to bring private lawsuits for violation of the MA Wage Act. Employee affirms that he/she has received all wages, including accrued unused vacation, and Employee voluntarily and knowingly waives all rights under the MA Wage Act.</w:t>
      </w:r>
    </w:p>
    <w:p>
      <w:pPr>
        <w:spacing w:after="0" w:line="181" w:lineRule="exact"/>
        <w:rPr>
          <w:rFonts w:ascii="Arial" w:cs="Arial" w:eastAsia="Arial" w:hAnsi="Arial"/>
          <w:sz w:val="18"/>
          <w:szCs w:val="18"/>
          <w:color w:val="auto"/>
        </w:rPr>
      </w:pPr>
    </w:p>
    <w:p>
      <w:pPr>
        <w:ind w:left="3120" w:right="40" w:hanging="382"/>
        <w:spacing w:after="0" w:line="257" w:lineRule="auto"/>
        <w:tabs>
          <w:tab w:leader="none" w:pos="3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nothing in this Agreement is intended to release or waive Employee’s rights (i) under COBRA, (ii) to unemployment insurance and worker’s compensation benefits, (iii) to enforce any right under the Equity Agreement, which survives the termination of employment, including the right to receive all vested retirement benefits, or vested Equity Awards in accordance with the terms and conditions of the applicable Equity Agreement, (iv) to commence an action or proceeding to enforce the terms of this Agreement, the Equity Agreement, or the Change in Control Severance Agreement, or (v) to indemnification for actions taken by Employee in the course and scope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221" w:right="47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auto"/>
        </w:rPr>
        <w:t>DocuSign Envelope ID: 09DF38C8-DF3F-4CFE-A990-D755920F43B3</w:t>
      </w:r>
    </w:p>
    <w:p>
      <w:pPr>
        <w:ind w:left="3120"/>
        <w:spacing w:after="0" w:line="231" w:lineRule="auto"/>
        <w:rPr>
          <w:sz w:val="20"/>
          <w:szCs w:val="20"/>
          <w:color w:val="auto"/>
        </w:rPr>
      </w:pPr>
      <w:r>
        <w:rPr>
          <w:rFonts w:ascii="Arial" w:cs="Arial" w:eastAsia="Arial" w:hAnsi="Arial"/>
          <w:sz w:val="20"/>
          <w:szCs w:val="20"/>
          <w:color w:val="auto"/>
        </w:rPr>
        <w:t>employment to the extent provided for in Sections 20 and 21 of the Employment Agreement, in applicable statutes, or the certificates of incorporation and by-laws of the Company or its affiliates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174625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221" w:right="5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hanging="379"/>
        <w:spacing w:after="0" w:line="258" w:lineRule="auto"/>
        <w:tabs>
          <w:tab w:leader="none" w:pos="3120" w:val="left"/>
        </w:tabs>
        <w:rPr>
          <w:sz w:val="20"/>
          <w:szCs w:val="20"/>
          <w:color w:val="auto"/>
        </w:rPr>
      </w:pPr>
      <w:r>
        <w:rPr>
          <w:rFonts w:ascii="Arial" w:cs="Arial" w:eastAsia="Arial" w:hAnsi="Arial"/>
          <w:sz w:val="18"/>
          <w:szCs w:val="18"/>
          <w:color w:val="auto"/>
        </w:rPr>
        <w:t>(f)</w:t>
        <w:tab/>
        <w:t>Nothing in this Agreement will bar or prohibit Employee from filing an administrative charge, contacting, seeking assistance from or participating in any proceeding before any federal or state administrative agency to the extent permitted by applicable federal, state and/or local law, including the Massachusetts Commission Against Discrimination and the Equal Employment Opportunity Commission. However, Employee nevertheless will be prohibited to the fullest</w:t>
      </w:r>
    </w:p>
    <w:p>
      <w:pPr>
        <w:spacing w:after="0" w:line="2" w:lineRule="exact"/>
        <w:rPr>
          <w:sz w:val="20"/>
          <w:szCs w:val="20"/>
          <w:color w:val="auto"/>
        </w:rPr>
      </w:pPr>
    </w:p>
    <w:p>
      <w:pPr>
        <w:ind w:left="3140" w:right="120"/>
        <w:spacing w:after="0" w:line="253" w:lineRule="auto"/>
        <w:rPr>
          <w:sz w:val="20"/>
          <w:szCs w:val="20"/>
          <w:color w:val="auto"/>
        </w:rPr>
      </w:pPr>
      <w:r>
        <w:rPr>
          <w:rFonts w:ascii="Arial" w:cs="Arial" w:eastAsia="Arial" w:hAnsi="Arial"/>
          <w:sz w:val="20"/>
          <w:szCs w:val="20"/>
          <w:color w:val="auto"/>
        </w:rPr>
        <w:t>extent authorized by law from obtaining monetary damages in any proceeding in which Employee does so participate.</w:t>
      </w:r>
    </w:p>
    <w:p>
      <w:pPr>
        <w:spacing w:after="0" w:line="183" w:lineRule="exact"/>
        <w:rPr>
          <w:sz w:val="20"/>
          <w:szCs w:val="20"/>
          <w:color w:val="auto"/>
        </w:rPr>
      </w:pPr>
    </w:p>
    <w:p>
      <w:pPr>
        <w:ind w:left="2360" w:right="20" w:hanging="372"/>
        <w:spacing w:after="0" w:line="256" w:lineRule="auto"/>
        <w:tabs>
          <w:tab w:leader="none" w:pos="23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Promise Not to Sue</w:t>
      </w:r>
      <w:r>
        <w:rPr>
          <w:rFonts w:ascii="Arial" w:cs="Arial" w:eastAsia="Arial" w:hAnsi="Arial"/>
          <w:sz w:val="18"/>
          <w:szCs w:val="18"/>
          <w:color w:val="auto"/>
        </w:rPr>
        <w:t>. Employee agrees that he/she will not initiate or encourage any complaint or lawsuit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court arising out of or relating to the claims released under this Agreement, whether on Employee’s behalf or in a representative capacity, and will not participate in any such action, whether individually or as a member of a class or other collective mechanism. Provided however, that nothing in this Agreement is intended to interfere with or discourage Employee from communicating with a governmental or regulatory body or official(s) or self-regulatory organization (collectively, “Agency” or “Agencies”) about possible violations of law or otherwise providing information to Agencies or participating in Agency investigations or proceedings. Except as otherwise prohibited by law (e.g., pursuant to Section 21F of the Securities Exchange Act and its corresponding regulations), Employee waives his/her rights to individual relief or monetary recovery based on a charge or complaint filed with an Agency.</w:t>
      </w:r>
    </w:p>
    <w:p>
      <w:pPr>
        <w:spacing w:after="0" w:line="195" w:lineRule="exact"/>
        <w:rPr>
          <w:rFonts w:ascii="Arial" w:cs="Arial" w:eastAsia="Arial" w:hAnsi="Arial"/>
          <w:sz w:val="18"/>
          <w:szCs w:val="18"/>
          <w:color w:val="auto"/>
        </w:rPr>
      </w:pPr>
    </w:p>
    <w:p>
      <w:pPr>
        <w:ind w:left="2360" w:right="340" w:hanging="372"/>
        <w:spacing w:after="0" w:line="256" w:lineRule="auto"/>
        <w:tabs>
          <w:tab w:leader="none" w:pos="23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Release of Claims by the Company. </w:t>
      </w:r>
      <w:r>
        <w:rPr>
          <w:rFonts w:ascii="Arial" w:cs="Arial" w:eastAsia="Arial" w:hAnsi="Arial"/>
          <w:sz w:val="18"/>
          <w:szCs w:val="18"/>
          <w:color w:val="auto"/>
        </w:rPr>
        <w:t>In consideration of the promises and undertakings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under this Agreement, including his agreement to provide through the Transition Period, the Company, for itself and on behalf of the other Releasees, hereby and forever releases Employee and his/her family members, heirs, executors, administrators, agents, attorneys and assigns(“Employee Releasees”) from, and agrees not to sue concerning, or in any manner to institute, prosecute, or pursue, any claim, complaint, charge, duty, obligation, or cause of action relating to any Matterson kind, whether presently known or unknown, suspected or unsuspected, that the Releasees may possess gainsayer the Employee Releasees arising from or relating to Employee’s employment with the Company up until and including the Effective Date of this Agreement.</w:t>
      </w:r>
    </w:p>
    <w:p>
      <w:pPr>
        <w:spacing w:after="0" w:line="159" w:lineRule="exact"/>
        <w:rPr>
          <w:rFonts w:ascii="Arial" w:cs="Arial" w:eastAsia="Arial" w:hAnsi="Arial"/>
          <w:sz w:val="18"/>
          <w:szCs w:val="18"/>
          <w:color w:val="auto"/>
        </w:rPr>
      </w:pPr>
    </w:p>
    <w:p>
      <w:pPr>
        <w:ind w:left="2360" w:hanging="372"/>
        <w:spacing w:after="0"/>
        <w:tabs>
          <w:tab w:leader="none" w:pos="2360"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 xml:space="preserve">Non-Disparagement; Transfer of Company Property. </w:t>
      </w:r>
      <w:r>
        <w:rPr>
          <w:rFonts w:ascii="Arial" w:cs="Arial" w:eastAsia="Arial" w:hAnsi="Arial"/>
          <w:sz w:val="19"/>
          <w:szCs w:val="19"/>
          <w:color w:val="auto"/>
        </w:rPr>
        <w:t>The Company and Employee further agree that:</w:t>
      </w:r>
    </w:p>
    <w:p>
      <w:pPr>
        <w:spacing w:after="0" w:line="254" w:lineRule="exact"/>
        <w:rPr>
          <w:rFonts w:ascii="Arial" w:cs="Arial" w:eastAsia="Arial" w:hAnsi="Arial"/>
          <w:sz w:val="19"/>
          <w:szCs w:val="19"/>
          <w:color w:val="auto"/>
        </w:rPr>
      </w:pPr>
    </w:p>
    <w:p>
      <w:pPr>
        <w:ind w:left="3140" w:right="40" w:hanging="386"/>
        <w:spacing w:after="0" w:line="258" w:lineRule="auto"/>
        <w:tabs>
          <w:tab w:leader="none" w:pos="314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Non-Disparagement</w:t>
      </w:r>
      <w:r>
        <w:rPr>
          <w:rFonts w:ascii="Arial" w:cs="Arial" w:eastAsia="Arial" w:hAnsi="Arial"/>
          <w:sz w:val="18"/>
          <w:szCs w:val="18"/>
          <w:color w:val="auto"/>
        </w:rPr>
        <w:t>. Employee shall not disparage, criticize or defame the Company,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affiliates, directors, officers, agents, partners, stockholders, individuals who are known by Employee to be employees of the Company, products, services, technology or business, either publicly or privately. Nothing in this Section is intended or shall be construed to limit the disclosures referred to in Section 5 above. Intern, the Company agrees to direct the members of its Executive Committee and Board of Directors not to disparage Employee in any manner likely to be harmful to Employee, Employee’s business reputation or personal reputation.</w:t>
      </w:r>
    </w:p>
    <w:p>
      <w:pPr>
        <w:spacing w:after="0" w:line="156" w:lineRule="exact"/>
        <w:rPr>
          <w:rFonts w:ascii="Arial" w:cs="Arial" w:eastAsia="Arial" w:hAnsi="Arial"/>
          <w:sz w:val="18"/>
          <w:szCs w:val="18"/>
          <w:color w:val="auto"/>
        </w:rPr>
      </w:pPr>
    </w:p>
    <w:p>
      <w:pPr>
        <w:jc w:val="both"/>
        <w:ind w:left="3140" w:right="380" w:hanging="386"/>
        <w:spacing w:after="0" w:line="237" w:lineRule="auto"/>
        <w:tabs>
          <w:tab w:leader="none" w:pos="3140" w:val="left"/>
        </w:tabs>
        <w:numPr>
          <w:ilvl w:val="1"/>
          <w:numId w:val="108"/>
        </w:numPr>
        <w:rPr>
          <w:rFonts w:ascii="Arial" w:cs="Arial" w:eastAsia="Arial" w:hAnsi="Arial"/>
          <w:sz w:val="20"/>
          <w:szCs w:val="20"/>
          <w:color w:val="auto"/>
        </w:rPr>
      </w:pPr>
      <w:r>
        <w:rPr>
          <w:rFonts w:ascii="Arial" w:cs="Arial" w:eastAsia="Arial" w:hAnsi="Arial"/>
          <w:sz w:val="20"/>
          <w:szCs w:val="20"/>
          <w:i w:val="1"/>
          <w:iCs w:val="1"/>
          <w:color w:val="auto"/>
        </w:rPr>
        <w:t>Transfer of Company Property</w:t>
      </w:r>
      <w:r>
        <w:rPr>
          <w:rFonts w:ascii="Arial" w:cs="Arial" w:eastAsia="Arial" w:hAnsi="Arial"/>
          <w:sz w:val="20"/>
          <w:szCs w:val="20"/>
          <w:color w:val="auto"/>
        </w:rPr>
        <w:t>. On or before the Separation Date, Employee shall return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all files, memoranda, records, another documents, and any other physical or personal property which the property of the Company 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225" w:right="5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right="220"/>
        <w:spacing w:after="0" w:line="248" w:lineRule="auto"/>
        <w:rPr>
          <w:sz w:val="20"/>
          <w:szCs w:val="20"/>
          <w:color w:val="auto"/>
        </w:rPr>
      </w:pPr>
      <w:r>
        <w:rPr>
          <w:rFonts w:ascii="Arial" w:cs="Arial" w:eastAsia="Arial" w:hAnsi="Arial"/>
          <w:sz w:val="19"/>
          <w:szCs w:val="19"/>
          <w:color w:val="auto"/>
        </w:rPr>
        <w:t>which he/she has in his/her possession, custody or control at the Separation Date to the Company at 215 First Street, Cambridge, MA 02142 to the attention of Alison Nasisi, Vice-President, Chief People Officer. All data storage devices shall be returned without deletion, alteration or copying by Employee of Company information, data and files.</w:t>
      </w:r>
    </w:p>
    <w:p>
      <w:pPr>
        <w:spacing w:after="0" w:line="204" w:lineRule="exact"/>
        <w:rPr>
          <w:sz w:val="20"/>
          <w:szCs w:val="20"/>
          <w:color w:val="auto"/>
        </w:rPr>
      </w:pPr>
    </w:p>
    <w:p>
      <w:pPr>
        <w:ind w:left="2360" w:right="220" w:hanging="372"/>
        <w:spacing w:after="0" w:line="257" w:lineRule="auto"/>
        <w:tabs>
          <w:tab w:leader="none" w:pos="23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Employee Representations</w:t>
      </w:r>
      <w:r>
        <w:rPr>
          <w:rFonts w:ascii="Arial" w:cs="Arial" w:eastAsia="Arial" w:hAnsi="Arial"/>
          <w:sz w:val="18"/>
          <w:szCs w:val="18"/>
          <w:color w:val="auto"/>
        </w:rPr>
        <w:t>. Employee warrants and represents that (a) he/she has not filed or authorized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filing of any complaints, charges or lawsuits (that are subject to release under Section 4 of this Agreement) against the Releasees or any affiliate of any Releasee with any governmental agency or court, and that if, unbeknownst to Employee, such a complaint, charge or lawsuit has been filed on his/her behalf, he/she will use reasonable best efforts to immediately cause it to be withdrawn and dismissed, unless it has been filed with a Government Agency and such efforts are prohibited by law and (b) he/she has no known workplace injuries or occupational diseases and has been provided and/or has not been denied any leave requested under the Family and Medical Leave Act or any similar state law.</w:t>
      </w:r>
    </w:p>
    <w:p>
      <w:pPr>
        <w:spacing w:after="0" w:line="170" w:lineRule="exact"/>
        <w:rPr>
          <w:rFonts w:ascii="Arial" w:cs="Arial" w:eastAsia="Arial" w:hAnsi="Arial"/>
          <w:sz w:val="18"/>
          <w:szCs w:val="18"/>
          <w:color w:val="auto"/>
        </w:rPr>
      </w:pPr>
    </w:p>
    <w:p>
      <w:pPr>
        <w:ind w:left="2360" w:right="280" w:hanging="372"/>
        <w:spacing w:after="0" w:line="260" w:lineRule="auto"/>
        <w:tabs>
          <w:tab w:leader="none" w:pos="23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Transition Services During the Transition Period. </w:t>
      </w:r>
      <w:r>
        <w:rPr>
          <w:rFonts w:ascii="Arial" w:cs="Arial" w:eastAsia="Arial" w:hAnsi="Arial"/>
          <w:sz w:val="18"/>
          <w:szCs w:val="18"/>
          <w:color w:val="auto"/>
        </w:rPr>
        <w:t>Beginning December 1, 2021, and ending on the earlier</w:t>
      </w:r>
      <w:r>
        <w:rPr>
          <w:rFonts w:ascii="Arial" w:cs="Arial" w:eastAsia="Arial" w:hAnsi="Arial"/>
          <w:sz w:val="18"/>
          <w:szCs w:val="18"/>
          <w:i w:val="1"/>
          <w:iCs w:val="1"/>
          <w:color w:val="auto"/>
        </w:rPr>
        <w:t xml:space="preserve"> </w:t>
      </w:r>
      <w:r>
        <w:rPr>
          <w:rFonts w:ascii="Arial" w:cs="Arial" w:eastAsia="Arial" w:hAnsi="Arial"/>
          <w:sz w:val="18"/>
          <w:szCs w:val="18"/>
          <w:color w:val="auto"/>
        </w:rPr>
        <w:t>of March 31, 2022 or the date upon which either party commits a material breach of this Agreement, the Equity Agreement, and the Confidential Proprietary Rights and Non-Disclosure Agreement, or the Change in Control Severance Agreement (the “Transition Period”), Employee shall be retained by the Company as a Consultant, and shall make himself available during normal business hours, subject to his individual commitments, to provide the following services to the Company (the “Transition Services”):</w:t>
      </w:r>
    </w:p>
    <w:p>
      <w:pPr>
        <w:spacing w:after="0" w:line="180" w:lineRule="exact"/>
        <w:rPr>
          <w:rFonts w:ascii="Arial" w:cs="Arial" w:eastAsia="Arial" w:hAnsi="Arial"/>
          <w:sz w:val="18"/>
          <w:szCs w:val="18"/>
          <w:color w:val="auto"/>
        </w:rPr>
      </w:pPr>
    </w:p>
    <w:p>
      <w:pPr>
        <w:ind w:left="3140" w:hanging="386"/>
        <w:spacing w:after="0" w:line="256" w:lineRule="auto"/>
        <w:tabs>
          <w:tab w:leader="none" w:pos="31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 answer questions with respect to matters that were previously within the scope of Employee’s responsibilities, including without limitation, cooperate with assigned Company employees to locate files and other materials pertaining to his duties for the Company; and (ii) provide such other cooperation as is required of him under Section 12 of the Employment Agreement. For the avoidance of doubt, Employee will not be obligated to provide such cooperation in the event that his individual interests conflict with those of the Company in respect of the matter for which his cooperation is requested. Further in performing the Transition Services, Employee will not be given copies of or asked to review or comment on any Confidential Information (as defined in the Confidential Proprietary Rights and Non-Disclosure Agreement).</w:t>
      </w:r>
    </w:p>
    <w:p>
      <w:pPr>
        <w:spacing w:after="0" w:line="172" w:lineRule="exact"/>
        <w:rPr>
          <w:rFonts w:ascii="Arial" w:cs="Arial" w:eastAsia="Arial" w:hAnsi="Arial"/>
          <w:sz w:val="18"/>
          <w:szCs w:val="18"/>
          <w:color w:val="auto"/>
        </w:rPr>
      </w:pPr>
    </w:p>
    <w:p>
      <w:pPr>
        <w:ind w:left="3140" w:right="440" w:hanging="386"/>
        <w:spacing w:after="0" w:line="286" w:lineRule="auto"/>
        <w:tabs>
          <w:tab w:leader="none" w:pos="31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Company’s requests for Transition Services shall not be unduly burdensome and shall not require more than ten (10) hours a week of Employee’s time. The Company shall reimburse Employee for reasonable out-of-pocket expenses incurred in providing the Transition Services consistent with the Company’s published policies for consultants. Such expenses shall include,</w:t>
      </w:r>
    </w:p>
    <w:p>
      <w:pPr>
        <w:spacing w:after="0" w:line="3" w:lineRule="exact"/>
        <w:rPr>
          <w:sz w:val="20"/>
          <w:szCs w:val="20"/>
          <w:color w:val="auto"/>
        </w:rPr>
      </w:pPr>
    </w:p>
    <w:p>
      <w:pPr>
        <w:ind w:left="3140" w:right="680"/>
        <w:spacing w:after="0" w:line="245" w:lineRule="auto"/>
        <w:rPr>
          <w:sz w:val="20"/>
          <w:szCs w:val="20"/>
          <w:color w:val="auto"/>
        </w:rPr>
      </w:pPr>
      <w:r>
        <w:rPr>
          <w:rFonts w:ascii="Arial" w:cs="Arial" w:eastAsia="Arial" w:hAnsi="Arial"/>
          <w:sz w:val="19"/>
          <w:szCs w:val="19"/>
          <w:color w:val="auto"/>
        </w:rPr>
        <w:t>without limitation, travel costs and, to the extent Employee reasonably believes the separate representations warranted in connection with any internal investigation or administrative, regulatory or judicial proceeding, reasonable legal fees.</w:t>
      </w:r>
    </w:p>
    <w:p>
      <w:pPr>
        <w:spacing w:after="0" w:line="192" w:lineRule="exact"/>
        <w:rPr>
          <w:sz w:val="20"/>
          <w:szCs w:val="20"/>
          <w:color w:val="auto"/>
        </w:rPr>
      </w:pPr>
    </w:p>
    <w:p>
      <w:pPr>
        <w:ind w:left="3120" w:right="800" w:hanging="366"/>
        <w:spacing w:after="0" w:line="287" w:lineRule="auto"/>
        <w:tabs>
          <w:tab w:leader="none" w:pos="3120"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 xml:space="preserve">Consideration. </w:t>
      </w:r>
      <w:r>
        <w:rPr>
          <w:rFonts w:ascii="Arial" w:cs="Arial" w:eastAsia="Arial" w:hAnsi="Arial"/>
          <w:sz w:val="19"/>
          <w:szCs w:val="19"/>
          <w:color w:val="auto"/>
        </w:rPr>
        <w:t>In consideration for agreeing to provide the Transition Services, during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Consulting Period, the Employee shall be paid a consulting fee of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172085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225" w:right="47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40"/>
        <w:spacing w:after="0" w:line="260" w:lineRule="auto"/>
        <w:rPr>
          <w:sz w:val="20"/>
          <w:szCs w:val="20"/>
          <w:color w:val="auto"/>
        </w:rPr>
      </w:pPr>
      <w:r>
        <w:rPr>
          <w:rFonts w:ascii="Arial" w:cs="Arial" w:eastAsia="Arial" w:hAnsi="Arial"/>
          <w:sz w:val="20"/>
          <w:szCs w:val="20"/>
          <w:color w:val="auto"/>
        </w:rPr>
        <w:t>per hour for no more than ten (10) hours per week, payable monthly in arrears, with the first payment beginning thirty (30) days after the Separation Date.</w:t>
      </w:r>
    </w:p>
    <w:p>
      <w:pPr>
        <w:spacing w:after="0" w:line="231" w:lineRule="exact"/>
        <w:rPr>
          <w:sz w:val="20"/>
          <w:szCs w:val="20"/>
          <w:color w:val="auto"/>
        </w:rPr>
      </w:pPr>
    </w:p>
    <w:p>
      <w:pPr>
        <w:ind w:left="2360" w:right="400" w:hanging="372"/>
        <w:spacing w:after="0" w:line="257" w:lineRule="auto"/>
        <w:tabs>
          <w:tab w:leader="none" w:pos="23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Departure Announcements, Inquiries Regarding Employee. </w:t>
      </w:r>
      <w:r>
        <w:rPr>
          <w:rFonts w:ascii="Arial" w:cs="Arial" w:eastAsia="Arial" w:hAnsi="Arial"/>
          <w:sz w:val="18"/>
          <w:szCs w:val="18"/>
          <w:color w:val="auto"/>
        </w:rPr>
        <w:t>The parties agree that the internal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external release (collectively, the “Statements”) will not be released until this Agreement has been signed by both parties. No other statements will be made by either party concerning the other party. To the extent either party receives inquiries from the media, clients, vendors, employees, or any other person regarding Employee or his departure from the Company, responses to such inquiries shall be consistent with the Statements. Any inquiries by a prospective employer will be directed to the head of Human Resources who, in keeping with Company policy, will only confirm the dates of employment and position held by Employee during his employment with the Company.</w:t>
      </w:r>
    </w:p>
    <w:p>
      <w:pPr>
        <w:spacing w:after="0" w:line="251" w:lineRule="exact"/>
        <w:rPr>
          <w:rFonts w:ascii="Arial" w:cs="Arial" w:eastAsia="Arial" w:hAnsi="Arial"/>
          <w:sz w:val="18"/>
          <w:szCs w:val="18"/>
          <w:color w:val="auto"/>
        </w:rPr>
      </w:pPr>
    </w:p>
    <w:p>
      <w:pPr>
        <w:ind w:left="2360" w:right="220" w:hanging="372"/>
        <w:spacing w:after="0"/>
        <w:tabs>
          <w:tab w:leader="none" w:pos="2360"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No Assignment by Employee</w:t>
      </w:r>
      <w:r>
        <w:rPr>
          <w:rFonts w:ascii="Arial" w:cs="Arial" w:eastAsia="Arial" w:hAnsi="Arial"/>
          <w:sz w:val="19"/>
          <w:szCs w:val="19"/>
          <w:color w:val="auto"/>
        </w:rPr>
        <w:t>. Employee warrants and represents that no portion of any of the matters</w:t>
      </w:r>
      <w:r>
        <w:rPr>
          <w:rFonts w:ascii="Arial" w:cs="Arial" w:eastAsia="Arial" w:hAnsi="Arial"/>
          <w:sz w:val="19"/>
          <w:szCs w:val="19"/>
          <w:i w:val="1"/>
          <w:iCs w:val="1"/>
          <w:color w:val="auto"/>
        </w:rPr>
        <w:t xml:space="preserve"> </w:t>
      </w:r>
      <w:r>
        <w:rPr>
          <w:rFonts w:ascii="Arial" w:cs="Arial" w:eastAsia="Arial" w:hAnsi="Arial"/>
          <w:sz w:val="19"/>
          <w:szCs w:val="19"/>
          <w:color w:val="auto"/>
        </w:rPr>
        <w:t>released herein, and no portion of any recovery or settlement to which Employee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Releasees because of any actual assignment, subrogation or transfer by Employee, Employee agrees to indemnify and hold harmless the Company and all other Releasees against such claim, action, suit or demand, including necessary expenses of investigation, attorneys’ fees and costs. In the event of Employee’s death, this Agreement shall inure to the benefit of Employee and Employee’s executors, administrators, heirs, distributees, devisees, and legatees. None of Employee’s rights or obligations maybe assigned or transferred by Employee, other than Employee’s rights to payments hereunder, which may be transferred only upon Employee’s death by will or operation of law.</w:t>
      </w:r>
    </w:p>
    <w:p>
      <w:pPr>
        <w:spacing w:after="0" w:line="199" w:lineRule="exact"/>
        <w:rPr>
          <w:rFonts w:ascii="Arial" w:cs="Arial" w:eastAsia="Arial" w:hAnsi="Arial"/>
          <w:sz w:val="19"/>
          <w:szCs w:val="19"/>
          <w:color w:val="auto"/>
        </w:rPr>
      </w:pPr>
    </w:p>
    <w:p>
      <w:pPr>
        <w:ind w:left="2360" w:right="140" w:hanging="372"/>
        <w:spacing w:after="0" w:line="232" w:lineRule="auto"/>
        <w:tabs>
          <w:tab w:leader="none" w:pos="2360" w:val="left"/>
        </w:tabs>
        <w:numPr>
          <w:ilvl w:val="0"/>
          <w:numId w:val="111"/>
        </w:numPr>
        <w:rPr>
          <w:rFonts w:ascii="Arial" w:cs="Arial" w:eastAsia="Arial" w:hAnsi="Arial"/>
          <w:sz w:val="20"/>
          <w:szCs w:val="20"/>
          <w:color w:val="auto"/>
        </w:rPr>
      </w:pPr>
      <w:r>
        <w:rPr>
          <w:rFonts w:ascii="Arial" w:cs="Arial" w:eastAsia="Arial" w:hAnsi="Arial"/>
          <w:sz w:val="20"/>
          <w:szCs w:val="20"/>
          <w:i w:val="1"/>
          <w:iCs w:val="1"/>
          <w:color w:val="auto"/>
        </w:rPr>
        <w:t>Governing Law</w:t>
      </w:r>
      <w:r>
        <w:rPr>
          <w:rFonts w:ascii="Arial" w:cs="Arial" w:eastAsia="Arial" w:hAnsi="Arial"/>
          <w:sz w:val="20"/>
          <w:szCs w:val="20"/>
          <w:color w:val="auto"/>
        </w:rPr>
        <w:t>. This Agreement shall be construed and enforced in accordance with, and the rights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parties shall be governed by, the laws of the Commonwealth of Massachusetts without regard to conflicts of laws principles, or where applicable, United States federal law. The Parties agree that the exclusive forum for any legal action arising out of or relating to this Agreement shall be in the state or federal courts located in the Commonwealth of Massachusetts.</w:t>
      </w:r>
    </w:p>
    <w:p>
      <w:pPr>
        <w:spacing w:after="0" w:line="211" w:lineRule="exact"/>
        <w:rPr>
          <w:rFonts w:ascii="Arial" w:cs="Arial" w:eastAsia="Arial" w:hAnsi="Arial"/>
          <w:sz w:val="20"/>
          <w:szCs w:val="20"/>
          <w:color w:val="auto"/>
        </w:rPr>
      </w:pPr>
    </w:p>
    <w:p>
      <w:pPr>
        <w:ind w:left="2360" w:right="140" w:hanging="372"/>
        <w:spacing w:after="0" w:line="255" w:lineRule="auto"/>
        <w:tabs>
          <w:tab w:leader="none" w:pos="23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Confidentiality of this Agreement</w:t>
      </w:r>
      <w:r>
        <w:rPr>
          <w:rFonts w:ascii="Arial" w:cs="Arial" w:eastAsia="Arial" w:hAnsi="Arial"/>
          <w:sz w:val="18"/>
          <w:szCs w:val="18"/>
          <w:color w:val="auto"/>
        </w:rPr>
        <w:t>. The parties understand and agree that, except as otherwise required by law,</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order or the directive of a governmental agency, the terms and contents of this Agreement, and the contents of the negotiations and discussions resulting in this Agreement, shall be maintained by both parties in confidence and shall not be disclosed to any third party; provided however, that Employee may disclose the terms and contents of this Agreement to his/her spouse and his/her legal and financial advisors, on condition that those recipients agree not to disclose same to others. The Company agrees to hold the terms and contents of this Agreement in confidence, and not disclose any of its terms or provisions, except as may be required by law, court order or the directive of a governmental agency, and except for a) its employees with a need to know for the purpose of fulfilling the Company’s obligations hereunder, b) its Executive Committee and Board of Directors, and c) its legal and financial advisors, provided in each case that such recipients agree not to disclose the same to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167640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225" w:right="39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60" w:hanging="372"/>
        <w:spacing w:after="0" w:line="256" w:lineRule="auto"/>
        <w:tabs>
          <w:tab w:leader="none" w:pos="23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This Agreement, together with the Parties’ post-termination rights and obligations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11, 12, 20, 21, 23, 26 and 27 of the Employment Agreement, the Confidential Proprietary Rights and Non-Disclosure Agreement, and the Equity Agreement, and the Change in Control Severance Agreement, comprise the entire agreement between the parties withered the subject matter hereof and supersede, in their entirety, any other agreements between Employee and the Company with regard to the subject matter hereof. Employee acknowledges that there are no other agreements, written, oral or implied, and that he/she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222" w:lineRule="exact"/>
        <w:rPr>
          <w:rFonts w:ascii="Arial" w:cs="Arial" w:eastAsia="Arial" w:hAnsi="Arial"/>
          <w:sz w:val="18"/>
          <w:szCs w:val="18"/>
          <w:color w:val="auto"/>
        </w:rPr>
      </w:pPr>
    </w:p>
    <w:p>
      <w:pPr>
        <w:ind w:left="2360" w:hanging="372"/>
        <w:spacing w:after="0" w:line="234" w:lineRule="auto"/>
        <w:tabs>
          <w:tab w:leader="none" w:pos="2360" w:val="left"/>
        </w:tabs>
        <w:numPr>
          <w:ilvl w:val="0"/>
          <w:numId w:val="112"/>
        </w:numPr>
        <w:rPr>
          <w:rFonts w:ascii="Arial" w:cs="Arial" w:eastAsia="Arial" w:hAnsi="Arial"/>
          <w:sz w:val="20"/>
          <w:szCs w:val="20"/>
          <w:color w:val="auto"/>
        </w:rPr>
      </w:pPr>
      <w:r>
        <w:rPr>
          <w:rFonts w:ascii="Arial" w:cs="Arial" w:eastAsia="Arial" w:hAnsi="Arial"/>
          <w:sz w:val="20"/>
          <w:szCs w:val="20"/>
          <w:i w:val="1"/>
          <w:iCs w:val="1"/>
          <w:color w:val="auto"/>
        </w:rPr>
        <w:t>Company Assignment and Successors</w:t>
      </w:r>
      <w:r>
        <w:rPr>
          <w:rFonts w:ascii="Arial" w:cs="Arial" w:eastAsia="Arial" w:hAnsi="Arial"/>
          <w:sz w:val="20"/>
          <w:szCs w:val="20"/>
          <w:color w:val="auto"/>
        </w:rPr>
        <w:t>. The Company shall assign its rights and obligations under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to any successor to all or substantially all the business or the assets of the Company (by merger or otherwise). This Agreement shall be binding upon and inure to the benefit of the Company and its successors, assigns, personnel and legal representatives.</w:t>
      </w:r>
    </w:p>
    <w:p>
      <w:pPr>
        <w:spacing w:after="0" w:line="196" w:lineRule="exact"/>
        <w:rPr>
          <w:rFonts w:ascii="Arial" w:cs="Arial" w:eastAsia="Arial" w:hAnsi="Arial"/>
          <w:sz w:val="20"/>
          <w:szCs w:val="20"/>
          <w:color w:val="auto"/>
        </w:rPr>
      </w:pPr>
    </w:p>
    <w:p>
      <w:pPr>
        <w:ind w:left="2360" w:right="60" w:hanging="372"/>
        <w:spacing w:after="0" w:line="292" w:lineRule="auto"/>
        <w:tabs>
          <w:tab w:leader="none" w:pos="23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Code Section 409A</w:t>
      </w:r>
      <w:r>
        <w:rPr>
          <w:rFonts w:ascii="Arial" w:cs="Arial" w:eastAsia="Arial" w:hAnsi="Arial"/>
          <w:sz w:val="16"/>
          <w:szCs w:val="16"/>
          <w:color w:val="auto"/>
        </w:rPr>
        <w:t>. This Agreement is intended to comply with, or otherwise be exempt from,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under Internal Revenue Code Section 409A and the related regulations and guidance issued by</w:t>
      </w:r>
    </w:p>
    <w:p>
      <w:pPr>
        <w:ind w:left="2360" w:right="60"/>
        <w:spacing w:after="0" w:line="239" w:lineRule="auto"/>
        <w:rPr>
          <w:sz w:val="20"/>
          <w:szCs w:val="20"/>
          <w:color w:val="auto"/>
        </w:rPr>
      </w:pPr>
      <w:r>
        <w:rPr>
          <w:rFonts w:ascii="Arial" w:cs="Arial" w:eastAsia="Arial" w:hAnsi="Arial"/>
          <w:sz w:val="19"/>
          <w:szCs w:val="19"/>
          <w:color w:val="auto"/>
        </w:rPr>
        <w:t>the Department of the Treasury, as modified from time to time, including exceptions and exemptions provided for therein (“Section 409A”). Accordingly, this Agreement shall be administered, construed, and interpreted in a manner consistent with such intent. Without limiting the foregoing, to the extent required to avoid accelerated taxation and/or tax penalties under Section 409A, amounts reimbursable to Employee under this Agreement shall be paid to Employee on or before the last day of the year following the year in which the expense was incurred, the amount of expenses eligible for reimbursement (and in-kind benefits provided to Employee) during one year may not affect amounts reimbursable or provided in any subsequent year, and the right to reimbursement or in-kind benefits shall not be subject to liquidation or exchange for another benefit.</w:t>
      </w:r>
    </w:p>
    <w:p>
      <w:pPr>
        <w:spacing w:after="0" w:line="213" w:lineRule="exact"/>
        <w:rPr>
          <w:sz w:val="20"/>
          <w:szCs w:val="20"/>
          <w:color w:val="auto"/>
        </w:rPr>
      </w:pPr>
    </w:p>
    <w:p>
      <w:pPr>
        <w:ind w:left="2360" w:right="60" w:hanging="372"/>
        <w:spacing w:after="0" w:line="258" w:lineRule="auto"/>
        <w:tabs>
          <w:tab w:leader="none" w:pos="23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Compliance with Continuing Obligations</w:t>
      </w:r>
      <w:r>
        <w:rPr>
          <w:rFonts w:ascii="Arial" w:cs="Arial" w:eastAsia="Arial" w:hAnsi="Arial"/>
          <w:sz w:val="18"/>
          <w:szCs w:val="18"/>
          <w:color w:val="auto"/>
        </w:rPr>
        <w:t>. Employee reaffirms his/her continuing obligations under Sections</w:t>
      </w:r>
      <w:r>
        <w:rPr>
          <w:rFonts w:ascii="Arial" w:cs="Arial" w:eastAsia="Arial" w:hAnsi="Arial"/>
          <w:sz w:val="18"/>
          <w:szCs w:val="18"/>
          <w:i w:val="1"/>
          <w:iCs w:val="1"/>
          <w:color w:val="auto"/>
        </w:rPr>
        <w:t xml:space="preserve"> </w:t>
      </w:r>
      <w:r>
        <w:rPr>
          <w:rFonts w:ascii="Arial" w:cs="Arial" w:eastAsia="Arial" w:hAnsi="Arial"/>
          <w:sz w:val="18"/>
          <w:szCs w:val="18"/>
          <w:color w:val="auto"/>
        </w:rPr>
        <w:t>11 and 12 of the Employment Agreement and under the Confidential Proprietary Rights and Non-Disclosure Agreement; Employee acknowledges and agrees that the payments and benefits provided by Section 2 of this Agreement shall be subject to Employee’s continued compliance with these obligations; provided however, for purposes of clarity, the Parties agree and acknowledge that the period of Employee’s post- termination non-solicitation and non-competition obligations shall commence on the Separation Date without regard to the commencement or duration of the Transition Period.</w:t>
      </w:r>
    </w:p>
    <w:p>
      <w:pPr>
        <w:spacing w:after="0" w:line="224" w:lineRule="exact"/>
        <w:rPr>
          <w:rFonts w:ascii="Arial" w:cs="Arial" w:eastAsia="Arial" w:hAnsi="Arial"/>
          <w:sz w:val="18"/>
          <w:szCs w:val="18"/>
          <w:color w:val="auto"/>
        </w:rPr>
      </w:pPr>
    </w:p>
    <w:p>
      <w:pPr>
        <w:ind w:left="2360" w:right="380" w:hanging="372"/>
        <w:spacing w:after="0" w:line="232" w:lineRule="auto"/>
        <w:tabs>
          <w:tab w:leader="none" w:pos="2360" w:val="left"/>
        </w:tabs>
        <w:numPr>
          <w:ilvl w:val="0"/>
          <w:numId w:val="113"/>
        </w:numPr>
        <w:rPr>
          <w:rFonts w:ascii="Arial" w:cs="Arial" w:eastAsia="Arial" w:hAnsi="Arial"/>
          <w:sz w:val="20"/>
          <w:szCs w:val="20"/>
          <w:color w:val="auto"/>
        </w:rPr>
      </w:pPr>
      <w:r>
        <w:rPr>
          <w:rFonts w:ascii="Arial" w:cs="Arial" w:eastAsia="Arial" w:hAnsi="Arial"/>
          <w:sz w:val="20"/>
          <w:szCs w:val="20"/>
          <w:i w:val="1"/>
          <w:iCs w:val="1"/>
          <w:color w:val="auto"/>
        </w:rPr>
        <w:t>Defend Trade Secrets Act of 2016</w:t>
      </w:r>
      <w:r>
        <w:rPr>
          <w:rFonts w:ascii="Arial" w:cs="Arial" w:eastAsia="Arial" w:hAnsi="Arial"/>
          <w:sz w:val="20"/>
          <w:szCs w:val="20"/>
          <w:color w:val="auto"/>
        </w:rPr>
        <w:t>. Employee is hereby advised that in accordance with the Defend Trade</w:t>
      </w:r>
      <w:r>
        <w:rPr>
          <w:rFonts w:ascii="Arial" w:cs="Arial" w:eastAsia="Arial" w:hAnsi="Arial"/>
          <w:sz w:val="20"/>
          <w:szCs w:val="20"/>
          <w:i w:val="1"/>
          <w:iCs w:val="1"/>
          <w:color w:val="auto"/>
        </w:rPr>
        <w:t xml:space="preserve"> </w:t>
      </w:r>
      <w:r>
        <w:rPr>
          <w:rFonts w:ascii="Arial" w:cs="Arial" w:eastAsia="Arial" w:hAnsi="Arial"/>
          <w:sz w:val="20"/>
          <w:szCs w:val="20"/>
          <w:color w:val="auto"/>
        </w:rPr>
        <w:t>Secrets Act of 2016 that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225" w:right="49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color w:val="auto"/>
        </w:rPr>
        <w:t>DocuSign Envelope ID: 09DF38C8-DF3F-4CFE-A990-D755920F43B3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380"/>
        <w:spacing w:after="0" w:line="260" w:lineRule="auto"/>
        <w:rPr>
          <w:sz w:val="20"/>
          <w:szCs w:val="20"/>
          <w:color w:val="auto"/>
        </w:rPr>
      </w:pPr>
      <w:r>
        <w:rPr>
          <w:rFonts w:ascii="Arial" w:cs="Arial" w:eastAsia="Arial" w:hAnsi="Arial"/>
          <w:sz w:val="20"/>
          <w:szCs w:val="20"/>
          <w:color w:val="auto"/>
        </w:rPr>
        <w:t>suspected violation of law; or (b) is made in a complaint or other document that is filed under seal in a lawsuit or other proceeding.</w:t>
      </w:r>
    </w:p>
    <w:p>
      <w:pPr>
        <w:spacing w:after="0" w:line="231" w:lineRule="exact"/>
        <w:rPr>
          <w:sz w:val="20"/>
          <w:szCs w:val="20"/>
          <w:color w:val="auto"/>
        </w:rPr>
      </w:pPr>
    </w:p>
    <w:p>
      <w:pPr>
        <w:ind w:left="2360" w:right="300" w:hanging="372"/>
        <w:spacing w:after="0" w:line="234" w:lineRule="auto"/>
        <w:tabs>
          <w:tab w:leader="none" w:pos="2360" w:val="left"/>
        </w:tabs>
        <w:numPr>
          <w:ilvl w:val="0"/>
          <w:numId w:val="114"/>
        </w:numPr>
        <w:rPr>
          <w:rFonts w:ascii="Arial" w:cs="Arial" w:eastAsia="Arial" w:hAnsi="Arial"/>
          <w:sz w:val="20"/>
          <w:szCs w:val="20"/>
          <w:color w:val="auto"/>
        </w:rPr>
      </w:pPr>
      <w:r>
        <w:rPr>
          <w:rFonts w:ascii="Arial" w:cs="Arial" w:eastAsia="Arial" w:hAnsi="Arial"/>
          <w:sz w:val="20"/>
          <w:szCs w:val="20"/>
          <w:i w:val="1"/>
          <w:iCs w:val="1"/>
          <w:color w:val="auto"/>
        </w:rPr>
        <w:t>Signatures</w:t>
      </w:r>
      <w:r>
        <w:rPr>
          <w:rFonts w:ascii="Arial" w:cs="Arial" w:eastAsia="Arial" w:hAnsi="Arial"/>
          <w:sz w:val="20"/>
          <w:szCs w:val="20"/>
          <w:color w:val="auto"/>
        </w:rPr>
        <w:t>. Employee and Company agree that this Agreement and any other documents to be delivered in</w:t>
      </w:r>
      <w:r>
        <w:rPr>
          <w:rFonts w:ascii="Arial" w:cs="Arial" w:eastAsia="Arial" w:hAnsi="Arial"/>
          <w:sz w:val="20"/>
          <w:szCs w:val="20"/>
          <w:i w:val="1"/>
          <w:iCs w:val="1"/>
          <w:color w:val="auto"/>
        </w:rPr>
        <w:t xml:space="preserve"> </w:t>
      </w:r>
      <w:r>
        <w:rPr>
          <w:rFonts w:ascii="Arial" w:cs="Arial" w:eastAsia="Arial" w:hAnsi="Arial"/>
          <w:sz w:val="20"/>
          <w:szCs w:val="20"/>
          <w:color w:val="auto"/>
        </w:rPr>
        <w:t>connection herewith may be electronically signed, and that any electronic signatures appearing on this Agreement or such other documents are the same as handwritten signatures for the purposes of validity, enforceability, and admissibility.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40" w:right="40"/>
        <w:spacing w:after="0" w:line="237" w:lineRule="auto"/>
        <w:rPr>
          <w:sz w:val="20"/>
          <w:szCs w:val="20"/>
          <w:color w:val="auto"/>
        </w:rPr>
      </w:pPr>
      <w:r>
        <w:rPr>
          <w:rFonts w:ascii="Arial" w:cs="Arial" w:eastAsia="Arial" w:hAnsi="Arial"/>
          <w:sz w:val="20"/>
          <w:szCs w:val="20"/>
          <w:color w:val="auto"/>
        </w:rPr>
        <w:t>To accept the terms of this Separation Agreement and Consulting Agreement and General Release, Employee must sign, date and return a copy to Ryan Brown, Senior Vice President and General Counsel, Sarepta Therapeutics, Inc., by email at RBrown@Sarepta.com within twenty-one (21) days.</w:t>
      </w:r>
    </w:p>
    <w:p>
      <w:pPr>
        <w:spacing w:after="0" w:line="237" w:lineRule="exact"/>
        <w:rPr>
          <w:sz w:val="20"/>
          <w:szCs w:val="20"/>
          <w:color w:val="auto"/>
        </w:rPr>
      </w:pPr>
    </w:p>
    <w:p>
      <w:pPr>
        <w:ind w:left="1000" w:right="260"/>
        <w:spacing w:after="0" w:line="272" w:lineRule="auto"/>
        <w:rPr>
          <w:sz w:val="20"/>
          <w:szCs w:val="20"/>
          <w:color w:val="auto"/>
        </w:rPr>
      </w:pPr>
      <w:r>
        <w:rPr>
          <w:rFonts w:ascii="Arial" w:cs="Arial" w:eastAsia="Arial" w:hAnsi="Arial"/>
          <w:sz w:val="19"/>
          <w:szCs w:val="19"/>
          <w:color w:val="auto"/>
        </w:rPr>
        <w:t>IN WITNESS WHEREOF, the undersigned have caused this Separation Agreement and Consulting Agreement and General Release to be duly executed and delivered as of the date indicated next to their respective signatures below.</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Dr. Gilmore O’Neill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Dr. Gilmore O’Neill</w:t>
      </w:r>
    </w:p>
    <w:p>
      <w:pPr>
        <w:ind w:left="1160"/>
        <w:spacing w:after="0" w:line="211" w:lineRule="auto"/>
        <w:rPr>
          <w:sz w:val="20"/>
          <w:szCs w:val="20"/>
          <w:color w:val="auto"/>
        </w:rPr>
      </w:pPr>
      <w:r>
        <w:rPr>
          <w:rFonts w:ascii="Arial" w:cs="Arial" w:eastAsia="Arial" w:hAnsi="Arial"/>
          <w:sz w:val="20"/>
          <w:szCs w:val="20"/>
          <w:color w:val="auto"/>
        </w:rPr>
        <w:t>Title: Executive Vice President, Research and Development, Chief</w:t>
      </w:r>
    </w:p>
    <w:p>
      <w:pPr>
        <w:ind w:left="1160"/>
        <w:spacing w:after="0"/>
        <w:rPr>
          <w:sz w:val="20"/>
          <w:szCs w:val="20"/>
          <w:color w:val="auto"/>
        </w:rPr>
      </w:pPr>
      <w:r>
        <w:rPr>
          <w:rFonts w:ascii="Arial" w:cs="Arial" w:eastAsia="Arial" w:hAnsi="Arial"/>
          <w:sz w:val="20"/>
          <w:szCs w:val="20"/>
          <w:color w:val="auto"/>
        </w:rPr>
        <w:t>Medical Officer</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E. Brown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Name: Ryan E. Brown</w:t>
      </w:r>
    </w:p>
    <w:p>
      <w:pPr>
        <w:ind w:left="1160"/>
        <w:spacing w:after="0"/>
        <w:rPr>
          <w:sz w:val="20"/>
          <w:szCs w:val="20"/>
          <w:color w:val="auto"/>
        </w:rPr>
      </w:pPr>
      <w:r>
        <w:rPr>
          <w:rFonts w:ascii="Arial" w:cs="Arial" w:eastAsia="Arial" w:hAnsi="Arial"/>
          <w:sz w:val="20"/>
          <w:szCs w:val="20"/>
          <w:color w:val="auto"/>
        </w:rPr>
        <w:t>Title: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339090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225" w:right="459" w:bottom="1440" w:gutter="0" w:footer="0" w:header="0"/>
        </w:sectPr>
      </w:pPr>
    </w:p>
    <w:bookmarkStart w:id="151" w:name="page152"/>
    <w:bookmarkEnd w:id="151"/>
    <w:p>
      <w:pPr>
        <w:jc w:val="center"/>
        <w:ind w:left="920"/>
        <w:spacing w:after="0"/>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 w:lineRule="exact"/>
        <w:rPr>
          <w:sz w:val="20"/>
          <w:szCs w:val="20"/>
          <w:color w:val="auto"/>
        </w:rPr>
      </w:pPr>
    </w:p>
    <w:p>
      <w:pPr>
        <w:ind w:left="9940"/>
        <w:spacing w:after="0"/>
        <w:rPr>
          <w:sz w:val="20"/>
          <w:szCs w:val="20"/>
          <w:color w:val="auto"/>
        </w:rPr>
      </w:pPr>
      <w:r>
        <w:rPr>
          <w:rFonts w:ascii="Arial" w:cs="Arial" w:eastAsia="Arial" w:hAnsi="Arial"/>
          <w:sz w:val="22"/>
          <w:szCs w:val="22"/>
          <w:color w:val="auto"/>
        </w:rPr>
        <w:t>Exhibit 10.66</w:t>
      </w:r>
    </w:p>
    <w:p>
      <w:pPr>
        <w:spacing w:after="0" w:line="178" w:lineRule="exact"/>
        <w:rPr>
          <w:sz w:val="20"/>
          <w:szCs w:val="20"/>
          <w:color w:val="auto"/>
        </w:rPr>
      </w:pPr>
    </w:p>
    <w:p>
      <w:pPr>
        <w:jc w:val="center"/>
        <w:ind w:right="20"/>
        <w:spacing w:after="0" w:line="250"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2" w:lineRule="exact"/>
        <w:rPr>
          <w:sz w:val="20"/>
          <w:szCs w:val="20"/>
          <w:color w:val="auto"/>
        </w:rPr>
      </w:pPr>
    </w:p>
    <w:p>
      <w:pPr>
        <w:jc w:val="right"/>
        <w:ind w:right="160"/>
        <w:spacing w:after="0"/>
        <w:rPr>
          <w:sz w:val="20"/>
          <w:szCs w:val="20"/>
          <w:color w:val="auto"/>
        </w:rPr>
      </w:pPr>
      <w:r>
        <w:rPr>
          <w:rFonts w:ascii="Arial" w:cs="Arial" w:eastAsia="Arial" w:hAnsi="Arial"/>
          <w:sz w:val="22"/>
          <w:szCs w:val="22"/>
          <w:b w:val="1"/>
          <w:bCs w:val="1"/>
          <w:i w:val="1"/>
          <w:iCs w:val="1"/>
          <w:u w:val="single" w:color="auto"/>
          <w:color w:val="auto"/>
        </w:rPr>
        <w:t>Execution Version</w:t>
      </w:r>
      <w:r>
        <w:rPr>
          <w:rFonts w:ascii="Arial" w:cs="Arial" w:eastAsia="Arial" w:hAnsi="Arial"/>
          <w:sz w:val="22"/>
          <w:szCs w:val="22"/>
          <w:b w:val="1"/>
          <w:bCs w:val="1"/>
          <w:i w:val="1"/>
          <w:iCs w:val="1"/>
          <w:color w:val="auto"/>
        </w:rPr>
        <w:t xml:space="preserve"> HIGHLY</w:t>
      </w:r>
    </w:p>
    <w:p>
      <w:pPr>
        <w:jc w:val="right"/>
        <w:ind w:right="100"/>
        <w:spacing w:after="0" w:line="238" w:lineRule="auto"/>
        <w:rPr>
          <w:sz w:val="20"/>
          <w:szCs w:val="20"/>
          <w:color w:val="auto"/>
        </w:rPr>
      </w:pPr>
      <w:r>
        <w:rPr>
          <w:rFonts w:ascii="Arial" w:cs="Arial" w:eastAsia="Arial" w:hAnsi="Arial"/>
          <w:sz w:val="22"/>
          <w:szCs w:val="22"/>
          <w:b w:val="1"/>
          <w:bCs w:val="1"/>
          <w:i w:val="1"/>
          <w:iCs w:val="1"/>
          <w:color w:val="auto"/>
        </w:rPr>
        <w:t>CONFIDENTIAL</w:t>
      </w:r>
    </w:p>
    <w:p>
      <w:pPr>
        <w:jc w:val="right"/>
        <w:ind w:right="100"/>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209" w:lineRule="exact"/>
        <w:rPr>
          <w:sz w:val="20"/>
          <w:szCs w:val="20"/>
          <w:color w:val="auto"/>
        </w:rPr>
      </w:pPr>
    </w:p>
    <w:p>
      <w:pPr>
        <w:jc w:val="center"/>
        <w:ind w:right="2040"/>
        <w:spacing w:after="0"/>
        <w:rPr>
          <w:sz w:val="20"/>
          <w:szCs w:val="20"/>
          <w:color w:val="auto"/>
        </w:rPr>
      </w:pPr>
      <w:r>
        <w:rPr>
          <w:rFonts w:ascii="Arial" w:cs="Arial" w:eastAsia="Arial" w:hAnsi="Arial"/>
          <w:sz w:val="22"/>
          <w:szCs w:val="22"/>
          <w:b w:val="1"/>
          <w:bCs w:val="1"/>
          <w:color w:val="auto"/>
        </w:rPr>
        <w:t>AMENDMENT NO. 2 TO LICENSE AGREEMENT</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AMENDMENT NO. 2 TO LICENSE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Amendment No. 2</w:t>
      </w:r>
      <w:r>
        <w:rPr>
          <w:rFonts w:ascii="Arial" w:cs="Arial" w:eastAsia="Arial" w:hAnsi="Arial"/>
          <w:sz w:val="22"/>
          <w:szCs w:val="22"/>
          <w:color w:val="auto"/>
        </w:rPr>
        <w:t>”) is</w:t>
      </w:r>
    </w:p>
    <w:p>
      <w:pPr>
        <w:spacing w:after="0" w:line="14" w:lineRule="exact"/>
        <w:rPr>
          <w:sz w:val="20"/>
          <w:szCs w:val="20"/>
          <w:color w:val="auto"/>
        </w:rPr>
      </w:pPr>
    </w:p>
    <w:p>
      <w:pPr>
        <w:jc w:val="both"/>
        <w:ind w:left="120" w:right="100"/>
        <w:spacing w:after="0" w:line="275" w:lineRule="auto"/>
        <w:rPr>
          <w:sz w:val="20"/>
          <w:szCs w:val="20"/>
          <w:color w:val="auto"/>
        </w:rPr>
      </w:pPr>
      <w:r>
        <w:rPr>
          <w:rFonts w:ascii="Arial" w:cs="Arial" w:eastAsia="Arial" w:hAnsi="Arial"/>
          <w:sz w:val="19"/>
          <w:szCs w:val="19"/>
          <w:color w:val="auto"/>
        </w:rPr>
        <w:t>made and entered effective as of November 17, 2021 (the “</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 by and between Sarepta Therapeutics, Inc., with offices at 215 First Street, Suite 415, Cambridge, MA 02142, USA and ST International Holdings Two, Inc. (the successor entity to Sarepta International C.V.), with a registered office at 251 Little Falls Drive, Wilmington, DE 19808, USA (collectively, “</w:t>
      </w:r>
      <w:r>
        <w:rPr>
          <w:rFonts w:ascii="Arial" w:cs="Arial" w:eastAsia="Arial" w:hAnsi="Arial"/>
          <w:sz w:val="19"/>
          <w:szCs w:val="19"/>
          <w:b w:val="1"/>
          <w:bCs w:val="1"/>
          <w:color w:val="auto"/>
        </w:rPr>
        <w:t>Sarepta</w:t>
      </w:r>
      <w:r>
        <w:rPr>
          <w:rFonts w:ascii="Arial" w:cs="Arial" w:eastAsia="Arial" w:hAnsi="Arial"/>
          <w:sz w:val="19"/>
          <w:szCs w:val="19"/>
          <w:color w:val="auto"/>
        </w:rPr>
        <w:t>”) on the one hand, and BioMarin Leiden Holding BV and its subsidiaries, BioMarin Nederlands BV and BioMarin Technologies BV (collectively, “</w:t>
      </w:r>
      <w:r>
        <w:rPr>
          <w:rFonts w:ascii="Arial" w:cs="Arial" w:eastAsia="Arial" w:hAnsi="Arial"/>
          <w:sz w:val="19"/>
          <w:szCs w:val="19"/>
          <w:b w:val="1"/>
          <w:bCs w:val="1"/>
          <w:color w:val="auto"/>
        </w:rPr>
        <w:t>BioMarin</w:t>
      </w:r>
      <w:r>
        <w:rPr>
          <w:rFonts w:ascii="Arial" w:cs="Arial" w:eastAsia="Arial" w:hAnsi="Arial"/>
          <w:sz w:val="19"/>
          <w:szCs w:val="19"/>
          <w:color w:val="auto"/>
        </w:rPr>
        <w:t>”), on the other hand. BioMarin and Sarepta may, from time-to-time, be individually referred to as a “Party” and collectively referred to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88" w:lineRule="exact"/>
        <w:rPr>
          <w:sz w:val="20"/>
          <w:szCs w:val="20"/>
          <w:color w:val="auto"/>
        </w:rPr>
      </w:pPr>
    </w:p>
    <w:p>
      <w:pPr>
        <w:jc w:val="both"/>
        <w:ind w:left="120" w:right="120" w:firstLine="74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that certain License Agreement between Sarepta and BioMarin, dated as of July</w:t>
      </w:r>
      <w:r>
        <w:rPr>
          <w:rFonts w:ascii="Arial" w:cs="Arial" w:eastAsia="Arial" w:hAnsi="Arial"/>
          <w:sz w:val="22"/>
          <w:szCs w:val="22"/>
          <w:b w:val="1"/>
          <w:bCs w:val="1"/>
          <w:color w:val="auto"/>
        </w:rPr>
        <w:t xml:space="preserve"> </w:t>
      </w:r>
      <w:r>
        <w:rPr>
          <w:rFonts w:ascii="Arial" w:cs="Arial" w:eastAsia="Arial" w:hAnsi="Arial"/>
          <w:sz w:val="22"/>
          <w:szCs w:val="22"/>
          <w:color w:val="auto"/>
        </w:rPr>
        <w:t>17, 2017, as amended by that certain Amendment No. 1 to License Agreement dated as of April 14, 2019 (the “</w:t>
      </w:r>
      <w:r>
        <w:rPr>
          <w:rFonts w:ascii="Arial" w:cs="Arial" w:eastAsia="Arial" w:hAnsi="Arial"/>
          <w:sz w:val="22"/>
          <w:szCs w:val="22"/>
          <w:b w:val="1"/>
          <w:bCs w:val="1"/>
          <w:color w:val="auto"/>
        </w:rPr>
        <w:t>Current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4" w:lineRule="exact"/>
        <w:rPr>
          <w:sz w:val="20"/>
          <w:szCs w:val="20"/>
          <w:color w:val="auto"/>
        </w:rPr>
      </w:pPr>
    </w:p>
    <w:p>
      <w:pPr>
        <w:jc w:val="both"/>
        <w:ind w:left="120" w:right="100" w:firstLine="747"/>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been engaged in certain contract disputes and proceedings related to the Current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 respect to which Sarepta formally notified BioMarin on September 7, 2021 that Sarepta viewed BioMarin to be in material breach of the Current Agreement and commenced a lawsuit against BioMarin in the United States District Court for the Southern District of New York on September 9, 2021, Docket No. 1:21-cv-7534 (the “</w:t>
      </w:r>
      <w:r>
        <w:rPr>
          <w:rFonts w:ascii="Arial" w:cs="Arial" w:eastAsia="Arial" w:hAnsi="Arial"/>
          <w:sz w:val="22"/>
          <w:szCs w:val="22"/>
          <w:b w:val="1"/>
          <w:bCs w:val="1"/>
          <w:color w:val="auto"/>
        </w:rPr>
        <w:t>Lawsuit</w:t>
      </w:r>
      <w:r>
        <w:rPr>
          <w:rFonts w:ascii="Arial" w:cs="Arial" w:eastAsia="Arial" w:hAnsi="Arial"/>
          <w:sz w:val="22"/>
          <w:szCs w:val="22"/>
          <w:color w:val="auto"/>
        </w:rPr>
        <w:t>”) alleging certain violations of the Current Agreement;</w:t>
      </w:r>
    </w:p>
    <w:p>
      <w:pPr>
        <w:spacing w:after="0" w:line="222" w:lineRule="exact"/>
        <w:rPr>
          <w:sz w:val="20"/>
          <w:szCs w:val="20"/>
          <w:color w:val="auto"/>
        </w:rPr>
      </w:pPr>
    </w:p>
    <w:p>
      <w:pPr>
        <w:jc w:val="both"/>
        <w:ind w:left="120" w:right="100" w:firstLine="747"/>
        <w:spacing w:after="0" w:line="28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that certain Settlement Agreement, dated as of the Amendment No. 2 Effective Date,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(the “</w:t>
      </w:r>
      <w:r>
        <w:rPr>
          <w:rFonts w:ascii="Arial" w:cs="Arial" w:eastAsia="Arial" w:hAnsi="Arial"/>
          <w:sz w:val="19"/>
          <w:szCs w:val="19"/>
          <w:b w:val="1"/>
          <w:bCs w:val="1"/>
          <w:color w:val="auto"/>
        </w:rPr>
        <w:t>2021 Settlement Agreement</w:t>
      </w:r>
      <w:r>
        <w:rPr>
          <w:rFonts w:ascii="Arial" w:cs="Arial" w:eastAsia="Arial" w:hAnsi="Arial"/>
          <w:sz w:val="19"/>
          <w:szCs w:val="19"/>
          <w:color w:val="auto"/>
        </w:rPr>
        <w:t>”) pursuant to which the Parties have agreed to settle the Lawsuit, the Parties have agreed to simultaneously enter into this Amendment No. 2 pursuant to which, in the interest of amicably resolving the Lawsuit, BioMarin has agreed to exercise the BioMarin Co-Exclusive License Option, subject to the terms and conditions of the Current Agreement, as modified by this Amendment No. 2 (the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Current Agreement as set forth herein; and</w:t>
      </w:r>
    </w:p>
    <w:p>
      <w:pPr>
        <w:spacing w:after="0" w:line="233" w:lineRule="exact"/>
        <w:rPr>
          <w:sz w:val="20"/>
          <w:szCs w:val="20"/>
          <w:color w:val="auto"/>
        </w:rPr>
      </w:pPr>
    </w:p>
    <w:p>
      <w:pPr>
        <w:jc w:val="both"/>
        <w:ind w:left="120" w:right="120" w:firstLine="74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following the Amendment No. 2 Effective Date, the Agreement shall govern the relationship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with respect to the matters set forth herein and therein.</w:t>
      </w:r>
    </w:p>
    <w:p>
      <w:pPr>
        <w:spacing w:after="0" w:line="203" w:lineRule="exact"/>
        <w:rPr>
          <w:sz w:val="20"/>
          <w:szCs w:val="20"/>
          <w:color w:val="auto"/>
        </w:rPr>
      </w:pPr>
    </w:p>
    <w:p>
      <w:pPr>
        <w:jc w:val="both"/>
        <w:ind w:left="120" w:right="100" w:firstLine="74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and of the conditions, covenants, and agreements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below and in the 2021 Settlement Agreement, the sufficiency of which is hereby acknowledged, the Parties hereto agree as follows: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120253029_3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jc w:val="center"/>
        <w:ind w:left="900" w:right="20"/>
        <w:spacing w:after="0" w:line="250"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87" w:lineRule="exact"/>
        <w:rPr>
          <w:sz w:val="20"/>
          <w:szCs w:val="20"/>
          <w:color w:val="auto"/>
        </w:rPr>
      </w:pPr>
    </w:p>
    <w:p>
      <w:pPr>
        <w:ind w:left="8720"/>
        <w:spacing w:after="0"/>
        <w:rPr>
          <w:sz w:val="20"/>
          <w:szCs w:val="20"/>
          <w:color w:val="auto"/>
        </w:rPr>
      </w:pPr>
      <w:r>
        <w:rPr>
          <w:rFonts w:ascii="Arial" w:cs="Arial" w:eastAsia="Arial" w:hAnsi="Arial"/>
          <w:sz w:val="21"/>
          <w:szCs w:val="21"/>
          <w:b w:val="1"/>
          <w:bCs w:val="1"/>
          <w:i w:val="1"/>
          <w:iCs w:val="1"/>
          <w:color w:val="auto"/>
        </w:rPr>
        <w:t>HIGHLY CONFIDENTIAL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47" w:lineRule="exact"/>
        <w:rPr>
          <w:sz w:val="20"/>
          <w:szCs w:val="20"/>
          <w:color w:val="auto"/>
        </w:rPr>
      </w:pPr>
    </w:p>
    <w:p>
      <w:pPr>
        <w:ind w:left="860" w:right="140" w:hanging="748"/>
        <w:spacing w:after="0" w:line="256" w:lineRule="auto"/>
        <w:tabs>
          <w:tab w:leader="none" w:pos="860" w:val="left"/>
        </w:tabs>
        <w:numPr>
          <w:ilvl w:val="0"/>
          <w:numId w:val="11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Capitalized terms not otherwise defined in this Amendment No. 2 shall have the meaning ascribed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terms in the Current Agreement or the 2021 Settlement Agreement.</w:t>
      </w:r>
    </w:p>
    <w:p>
      <w:pPr>
        <w:spacing w:after="0" w:line="270" w:lineRule="exact"/>
        <w:rPr>
          <w:rFonts w:ascii="Arial" w:cs="Arial" w:eastAsia="Arial" w:hAnsi="Arial"/>
          <w:sz w:val="22"/>
          <w:szCs w:val="22"/>
          <w:color w:val="auto"/>
        </w:rPr>
      </w:pPr>
    </w:p>
    <w:p>
      <w:pPr>
        <w:ind w:left="860" w:hanging="748"/>
        <w:spacing w:after="0"/>
        <w:tabs>
          <w:tab w:leader="none" w:pos="860" w:val="left"/>
        </w:tabs>
        <w:numPr>
          <w:ilvl w:val="0"/>
          <w:numId w:val="115"/>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of BioMarin Co-Exclusive License Option</w:t>
      </w:r>
      <w:r>
        <w:rPr>
          <w:rFonts w:ascii="Arial" w:cs="Arial" w:eastAsia="Arial" w:hAnsi="Arial"/>
          <w:sz w:val="19"/>
          <w:szCs w:val="19"/>
          <w:color w:val="auto"/>
        </w:rPr>
        <w:t>. The Parties hereby agree that, for purposes of the Agreement,</w:t>
      </w:r>
    </w:p>
    <w:p>
      <w:pPr>
        <w:spacing w:after="0" w:line="48" w:lineRule="exact"/>
        <w:rPr>
          <w:rFonts w:ascii="Arial" w:cs="Arial" w:eastAsia="Arial" w:hAnsi="Arial"/>
          <w:sz w:val="19"/>
          <w:szCs w:val="19"/>
          <w:color w:val="auto"/>
        </w:rPr>
      </w:pPr>
    </w:p>
    <w:p>
      <w:pPr>
        <w:jc w:val="both"/>
        <w:ind w:left="860" w:right="120"/>
        <w:spacing w:after="0" w:line="230" w:lineRule="auto"/>
        <w:rPr>
          <w:rFonts w:ascii="Arial" w:cs="Arial" w:eastAsia="Arial" w:hAnsi="Arial"/>
          <w:sz w:val="19"/>
          <w:szCs w:val="19"/>
          <w:color w:val="auto"/>
        </w:rPr>
      </w:pPr>
      <w:r>
        <w:rPr>
          <w:rFonts w:ascii="Arial" w:cs="Arial" w:eastAsia="Arial" w:hAnsi="Arial"/>
          <w:sz w:val="22"/>
          <w:szCs w:val="22"/>
          <w:color w:val="auto"/>
        </w:rPr>
        <w:t xml:space="preserve">(a) as of the Amendment No. 2 Effective Date, the BioMarin </w:t>
      </w:r>
      <w:r>
        <w:rPr>
          <w:rFonts w:ascii="Arial" w:cs="Arial" w:eastAsia="Arial" w:hAnsi="Arial"/>
          <w:sz w:val="19"/>
          <w:szCs w:val="19"/>
          <w:color w:val="auto"/>
        </w:rPr>
        <w:t>Co-Exclusive License Option has been irrevocably exercised,</w:t>
      </w:r>
      <w:r>
        <w:rPr>
          <w:rFonts w:ascii="Arial" w:cs="Arial" w:eastAsia="Arial" w:hAnsi="Arial"/>
          <w:sz w:val="22"/>
          <w:szCs w:val="22"/>
          <w:color w:val="auto"/>
        </w:rPr>
        <w:t xml:space="preserve"> </w:t>
      </w:r>
      <w:r>
        <w:rPr>
          <w:rFonts w:ascii="Arial" w:cs="Arial" w:eastAsia="Arial" w:hAnsi="Arial"/>
          <w:sz w:val="19"/>
          <w:szCs w:val="19"/>
          <w:color w:val="auto"/>
        </w:rPr>
        <w:t>and (b) the BioMarin Option Notice is deemed to have been provided by BioMarin on the date that is 60 days prior to the Amendment No. 2 Effective Date.</w:t>
      </w:r>
    </w:p>
    <w:p>
      <w:pPr>
        <w:spacing w:after="0" w:line="213" w:lineRule="exact"/>
        <w:rPr>
          <w:rFonts w:ascii="Arial" w:cs="Arial" w:eastAsia="Arial" w:hAnsi="Arial"/>
          <w:sz w:val="19"/>
          <w:szCs w:val="19"/>
          <w:color w:val="auto"/>
        </w:rPr>
      </w:pPr>
    </w:p>
    <w:p>
      <w:pPr>
        <w:ind w:left="860" w:right="480" w:hanging="748"/>
        <w:spacing w:after="0" w:line="256" w:lineRule="auto"/>
        <w:tabs>
          <w:tab w:leader="none" w:pos="860" w:val="left"/>
        </w:tabs>
        <w:numPr>
          <w:ilvl w:val="0"/>
          <w:numId w:val="115"/>
        </w:numPr>
        <w:rPr>
          <w:rFonts w:ascii="Arial" w:cs="Arial" w:eastAsia="Arial" w:hAnsi="Arial"/>
          <w:sz w:val="22"/>
          <w:szCs w:val="22"/>
          <w:color w:val="auto"/>
        </w:rPr>
      </w:pPr>
      <w:r>
        <w:rPr>
          <w:rFonts w:ascii="Arial" w:cs="Arial" w:eastAsia="Arial" w:hAnsi="Arial"/>
          <w:sz w:val="22"/>
          <w:szCs w:val="22"/>
          <w:b w:val="1"/>
          <w:bCs w:val="1"/>
          <w:u w:val="single" w:color="auto"/>
          <w:color w:val="auto"/>
        </w:rPr>
        <w:t>Conversion to Co-Exclusive License</w:t>
      </w:r>
      <w:r>
        <w:rPr>
          <w:rFonts w:ascii="Arial" w:cs="Arial" w:eastAsia="Arial" w:hAnsi="Arial"/>
          <w:sz w:val="22"/>
          <w:szCs w:val="22"/>
          <w:color w:val="auto"/>
        </w:rPr>
        <w:t>. Section 2.4.2 of the Current Agreement is hereby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spacing w:after="0" w:line="203"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 xml:space="preserve">2.4.2. Co-Exclusive License. </w:t>
      </w:r>
      <w:r>
        <w:rPr>
          <w:rFonts w:ascii="Arial" w:cs="Arial" w:eastAsia="Arial" w:hAnsi="Arial"/>
          <w:sz w:val="22"/>
          <w:szCs w:val="22"/>
          <w:color w:val="auto"/>
        </w:rPr>
        <w:t>From and after the Amendment No. 2 Effective Date,</w:t>
      </w:r>
    </w:p>
    <w:p>
      <w:pPr>
        <w:spacing w:after="0" w:line="14" w:lineRule="exact"/>
        <w:rPr>
          <w:sz w:val="20"/>
          <w:szCs w:val="20"/>
          <w:color w:val="auto"/>
        </w:rPr>
      </w:pPr>
    </w:p>
    <w:p>
      <w:pPr>
        <w:jc w:val="both"/>
        <w:ind w:left="1620" w:right="120" w:hanging="10"/>
        <w:spacing w:after="0" w:line="232"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the Sarepta License under </w:t>
      </w:r>
      <w:r>
        <w:rPr>
          <w:rFonts w:ascii="Arial" w:cs="Arial" w:eastAsia="Arial" w:hAnsi="Arial"/>
          <w:sz w:val="22"/>
          <w:szCs w:val="22"/>
          <w:u w:val="single" w:color="auto"/>
          <w:color w:val="auto"/>
        </w:rPr>
        <w:t>Section 2.1(b)</w:t>
      </w:r>
      <w:r>
        <w:rPr>
          <w:rFonts w:ascii="Arial" w:cs="Arial" w:eastAsia="Arial" w:hAnsi="Arial"/>
          <w:sz w:val="22"/>
          <w:szCs w:val="22"/>
          <w:color w:val="auto"/>
        </w:rPr>
        <w:t xml:space="preserve"> (License Grant to Sarepta) will be limited by and subject to BioMarin’s co-exclusive right (co-exclusive with Sarepta) to practice and exploit the Licensed IP in the Territory in all fields of use during the remainder of the Term, subject to the terms of this Agreement, (b) the royalties payable to BioMarin on Net Sales of Royalty Bearing Products will be reduced beginning on July 1, 2022, as set forth in </w:t>
      </w:r>
      <w:r>
        <w:rPr>
          <w:rFonts w:ascii="Arial" w:cs="Arial" w:eastAsia="Arial" w:hAnsi="Arial"/>
          <w:sz w:val="22"/>
          <w:szCs w:val="22"/>
          <w:u w:val="single" w:color="auto"/>
          <w:color w:val="auto"/>
        </w:rPr>
        <w:t>Section 4.4.1</w:t>
      </w:r>
      <w:r>
        <w:rPr>
          <w:rFonts w:ascii="Arial" w:cs="Arial" w:eastAsia="Arial" w:hAnsi="Arial"/>
          <w:sz w:val="22"/>
          <w:szCs w:val="22"/>
          <w:color w:val="auto"/>
        </w:rPr>
        <w:t xml:space="preserve"> (Royalty Rates), and (c) the definitions of “Royalty Bearing Product” in </w:t>
      </w:r>
      <w:r>
        <w:rPr>
          <w:rFonts w:ascii="Arial" w:cs="Arial" w:eastAsia="Arial" w:hAnsi="Arial"/>
          <w:sz w:val="22"/>
          <w:szCs w:val="22"/>
          <w:u w:val="single" w:color="auto"/>
          <w:color w:val="auto"/>
        </w:rPr>
        <w:t>Section 1.77</w:t>
      </w:r>
      <w:r>
        <w:rPr>
          <w:rFonts w:ascii="Arial" w:cs="Arial" w:eastAsia="Arial" w:hAnsi="Arial"/>
          <w:sz w:val="22"/>
          <w:szCs w:val="22"/>
          <w:color w:val="auto"/>
        </w:rPr>
        <w:t xml:space="preserve"> (Royalty Bearing Product) and “Royalty Term” in </w:t>
      </w:r>
      <w:r>
        <w:rPr>
          <w:rFonts w:ascii="Arial" w:cs="Arial" w:eastAsia="Arial" w:hAnsi="Arial"/>
          <w:sz w:val="22"/>
          <w:szCs w:val="22"/>
          <w:u w:val="single" w:color="auto"/>
          <w:color w:val="auto"/>
        </w:rPr>
        <w:t>Section 1.78</w:t>
      </w:r>
      <w:r>
        <w:rPr>
          <w:rFonts w:ascii="Arial" w:cs="Arial" w:eastAsia="Arial" w:hAnsi="Arial"/>
          <w:sz w:val="22"/>
          <w:szCs w:val="22"/>
          <w:color w:val="auto"/>
        </w:rPr>
        <w:t xml:space="preserve"> (Royalty Term) will be automatically replaced by the following definitions, respectively, beginning on July 1, 2022 for all purposes of this Agreement:</w:t>
      </w:r>
    </w:p>
    <w:p>
      <w:pPr>
        <w:spacing w:after="0" w:line="207" w:lineRule="exact"/>
        <w:rPr>
          <w:sz w:val="20"/>
          <w:szCs w:val="20"/>
          <w:color w:val="auto"/>
        </w:rPr>
      </w:pPr>
    </w:p>
    <w:p>
      <w:pPr>
        <w:jc w:val="both"/>
        <w:ind w:left="2360" w:right="1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Royalty Bearing Product</w:t>
      </w:r>
      <w:r>
        <w:rPr>
          <w:rFonts w:ascii="Arial" w:cs="Arial" w:eastAsia="Arial" w:hAnsi="Arial"/>
          <w:sz w:val="22"/>
          <w:szCs w:val="22"/>
          <w:color w:val="auto"/>
        </w:rPr>
        <w:t>” means, on a country-by-country and Product- by-Product basis, all Products that are Covered by a Licensed Patent in the applicable country.</w:t>
      </w:r>
    </w:p>
    <w:p>
      <w:pPr>
        <w:spacing w:after="0" w:line="203" w:lineRule="exact"/>
        <w:rPr>
          <w:sz w:val="20"/>
          <w:szCs w:val="20"/>
          <w:color w:val="auto"/>
        </w:rPr>
      </w:pPr>
    </w:p>
    <w:p>
      <w:pPr>
        <w:jc w:val="both"/>
        <w:ind w:left="2360" w:right="12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means, on a country-by-country and Royalty Bearing Product-by-Royalty Bearing Product basis, the period of time beginning on the First Commercial Sale Date and ending on the earlier of (i) the date the relevant Royalty-Bearing Product is no longer Covered by a Licensed Patent in the applicable country or (ii) March 31, 2024 in the United States and December 31, 2024 in all other countries in the Territory.</w:t>
      </w:r>
    </w:p>
    <w:p>
      <w:pPr>
        <w:spacing w:after="0" w:line="209" w:lineRule="exact"/>
        <w:rPr>
          <w:sz w:val="20"/>
          <w:szCs w:val="20"/>
          <w:color w:val="auto"/>
        </w:rPr>
      </w:pPr>
    </w:p>
    <w:p>
      <w:pPr>
        <w:ind w:left="860" w:right="540" w:hanging="748"/>
        <w:spacing w:after="0" w:line="256" w:lineRule="auto"/>
        <w:tabs>
          <w:tab w:leader="none" w:pos="860" w:val="left"/>
        </w:tabs>
        <w:numPr>
          <w:ilvl w:val="0"/>
          <w:numId w:val="117"/>
        </w:numPr>
        <w:rPr>
          <w:rFonts w:ascii="Arial" w:cs="Arial" w:eastAsia="Arial" w:hAnsi="Arial"/>
          <w:sz w:val="22"/>
          <w:szCs w:val="22"/>
          <w:color w:val="auto"/>
        </w:rPr>
      </w:pPr>
      <w:r>
        <w:rPr>
          <w:rFonts w:ascii="Arial" w:cs="Arial" w:eastAsia="Arial" w:hAnsi="Arial"/>
          <w:sz w:val="22"/>
          <w:szCs w:val="22"/>
          <w:b w:val="1"/>
          <w:bCs w:val="1"/>
          <w:u w:val="single" w:color="auto"/>
          <w:color w:val="auto"/>
        </w:rPr>
        <w:t>BioMarin Right to License</w:t>
      </w:r>
      <w:r>
        <w:rPr>
          <w:rFonts w:ascii="Arial" w:cs="Arial" w:eastAsia="Arial" w:hAnsi="Arial"/>
          <w:sz w:val="22"/>
          <w:szCs w:val="22"/>
          <w:color w:val="auto"/>
        </w:rPr>
        <w:t>. Section 2.4.3 of the Current Agreement is hereby deleted in its entirety and replaced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following:</w:t>
      </w:r>
    </w:p>
    <w:p>
      <w:pPr>
        <w:spacing w:after="0" w:line="203" w:lineRule="exact"/>
        <w:rPr>
          <w:sz w:val="20"/>
          <w:szCs w:val="20"/>
          <w:color w:val="auto"/>
        </w:rPr>
      </w:pPr>
    </w:p>
    <w:p>
      <w:pPr>
        <w:jc w:val="both"/>
        <w:ind w:left="1620" w:right="120"/>
        <w:spacing w:after="0" w:line="248" w:lineRule="auto"/>
        <w:rPr>
          <w:sz w:val="20"/>
          <w:szCs w:val="20"/>
          <w:color w:val="auto"/>
        </w:rPr>
      </w:pPr>
      <w:r>
        <w:rPr>
          <w:rFonts w:ascii="Arial" w:cs="Arial" w:eastAsia="Arial" w:hAnsi="Arial"/>
          <w:sz w:val="21"/>
          <w:szCs w:val="21"/>
          <w:b w:val="1"/>
          <w:bCs w:val="1"/>
          <w:color w:val="auto"/>
        </w:rPr>
        <w:t>1.1.3BioMarin Right to License</w:t>
      </w:r>
      <w:r>
        <w:rPr>
          <w:rFonts w:ascii="Arial" w:cs="Arial" w:eastAsia="Arial" w:hAnsi="Arial"/>
          <w:sz w:val="21"/>
          <w:szCs w:val="21"/>
          <w:color w:val="auto"/>
        </w:rPr>
        <w:t>. From and after the Amendment No. 2 Effective Date, BioMarin may grant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licenses under the Licensed IP, through multiple tiers, only to any Third Party collaboration partner, regional licensee, manufacturer or distributor,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licenses are consistent with the terms and conditions of this Agreement, and (b) such licenses are limited to</w:t>
      </w:r>
    </w:p>
    <w:p>
      <w:pPr>
        <w:jc w:val="center"/>
        <w:spacing w:after="0" w:line="225" w:lineRule="auto"/>
        <w:rPr>
          <w:sz w:val="20"/>
          <w:szCs w:val="20"/>
          <w:color w:val="auto"/>
        </w:rPr>
      </w:pPr>
      <w:r>
        <w:rPr>
          <w:rFonts w:ascii="Arial" w:cs="Arial" w:eastAsia="Arial" w:hAnsi="Arial"/>
          <w:sz w:val="20"/>
          <w:szCs w:val="20"/>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120253029_3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center"/>
        <w:ind w:left="900" w:right="20"/>
        <w:spacing w:after="0" w:line="250"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87" w:lineRule="exact"/>
        <w:rPr>
          <w:sz w:val="20"/>
          <w:szCs w:val="20"/>
          <w:color w:val="auto"/>
        </w:rPr>
      </w:pPr>
    </w:p>
    <w:p>
      <w:pPr>
        <w:ind w:left="8720"/>
        <w:spacing w:after="0"/>
        <w:rPr>
          <w:sz w:val="20"/>
          <w:szCs w:val="20"/>
          <w:color w:val="auto"/>
        </w:rPr>
      </w:pPr>
      <w:r>
        <w:rPr>
          <w:rFonts w:ascii="Arial" w:cs="Arial" w:eastAsia="Arial" w:hAnsi="Arial"/>
          <w:sz w:val="21"/>
          <w:szCs w:val="21"/>
          <w:b w:val="1"/>
          <w:bCs w:val="1"/>
          <w:i w:val="1"/>
          <w:iCs w:val="1"/>
          <w:color w:val="auto"/>
        </w:rPr>
        <w:t>HIGHLY CONFIDENTIAL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53" w:lineRule="exact"/>
        <w:rPr>
          <w:sz w:val="20"/>
          <w:szCs w:val="20"/>
          <w:color w:val="auto"/>
        </w:rPr>
      </w:pPr>
    </w:p>
    <w:p>
      <w:pPr>
        <w:ind w:left="1620" w:right="140"/>
        <w:spacing w:after="0" w:line="250" w:lineRule="auto"/>
        <w:rPr>
          <w:sz w:val="20"/>
          <w:szCs w:val="20"/>
          <w:color w:val="auto"/>
        </w:rPr>
      </w:pPr>
      <w:r>
        <w:rPr>
          <w:rFonts w:ascii="Arial" w:cs="Arial" w:eastAsia="Arial" w:hAnsi="Arial"/>
          <w:sz w:val="22"/>
          <w:szCs w:val="22"/>
          <w:color w:val="auto"/>
        </w:rPr>
        <w:t>Products for which BioMarin retains the exclusive right to directly commercialize in the United States and the European Union.</w:t>
      </w:r>
    </w:p>
    <w:p>
      <w:pPr>
        <w:spacing w:after="0" w:line="196" w:lineRule="exact"/>
        <w:rPr>
          <w:sz w:val="20"/>
          <w:szCs w:val="20"/>
          <w:color w:val="auto"/>
        </w:rPr>
      </w:pPr>
    </w:p>
    <w:p>
      <w:pPr>
        <w:ind w:left="860" w:right="940" w:hanging="748"/>
        <w:spacing w:after="0" w:line="256" w:lineRule="auto"/>
        <w:tabs>
          <w:tab w:leader="none" w:pos="860"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 xml:space="preserve">Royalty-Bearing Products and Scope of Licensed Patents. </w:t>
      </w:r>
      <w:r>
        <w:rPr>
          <w:rFonts w:ascii="Arial" w:cs="Arial" w:eastAsia="Arial" w:hAnsi="Arial"/>
          <w:sz w:val="22"/>
          <w:szCs w:val="22"/>
          <w:color w:val="auto"/>
        </w:rPr>
        <w:t>Section 2.4 of the Current Agreement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to add the following as a new Section 2.4.4:</w:t>
      </w:r>
    </w:p>
    <w:p>
      <w:pPr>
        <w:spacing w:after="0" w:line="203" w:lineRule="exact"/>
        <w:rPr>
          <w:sz w:val="20"/>
          <w:szCs w:val="20"/>
          <w:color w:val="auto"/>
        </w:rPr>
      </w:pPr>
    </w:p>
    <w:p>
      <w:pPr>
        <w:ind w:left="1700"/>
        <w:spacing w:after="0"/>
        <w:tabs>
          <w:tab w:leader="none" w:pos="232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Royalty-Bearing Products and Scope of Licensed Patents</w:t>
      </w:r>
      <w:r>
        <w:rPr>
          <w:rFonts w:ascii="Arial" w:cs="Arial" w:eastAsia="Arial" w:hAnsi="Arial"/>
          <w:sz w:val="19"/>
          <w:szCs w:val="19"/>
          <w:color w:val="auto"/>
        </w:rPr>
        <w:t>.</w:t>
      </w:r>
    </w:p>
    <w:p>
      <w:pPr>
        <w:spacing w:after="0" w:line="239" w:lineRule="exact"/>
        <w:rPr>
          <w:sz w:val="20"/>
          <w:szCs w:val="20"/>
          <w:color w:val="auto"/>
        </w:rPr>
      </w:pPr>
    </w:p>
    <w:p>
      <w:pPr>
        <w:jc w:val="both"/>
        <w:ind w:left="2360" w:right="400" w:firstLine="561"/>
        <w:spacing w:after="0" w:line="234" w:lineRule="auto"/>
        <w:tabs>
          <w:tab w:leader="none" w:pos="3457"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Parties hereby agree that: (i) Schedule 1.77(a) sets forth a list of all Products that are Royalty Bearing Products and have Net Sales in the Territory as of the Amendment No. 2 Effective Date under the definition of Royalty Bearing Product that will be in effect through June 30, 2022; and</w:t>
      </w:r>
    </w:p>
    <w:p>
      <w:pPr>
        <w:spacing w:after="0" w:line="3" w:lineRule="exact"/>
        <w:rPr>
          <w:rFonts w:ascii="Arial" w:cs="Arial" w:eastAsia="Arial" w:hAnsi="Arial"/>
          <w:sz w:val="22"/>
          <w:szCs w:val="22"/>
          <w:color w:val="auto"/>
        </w:rPr>
      </w:pPr>
    </w:p>
    <w:p>
      <w:pPr>
        <w:jc w:val="both"/>
        <w:ind w:left="2360" w:right="420" w:hanging="1"/>
        <w:spacing w:after="0" w:line="273" w:lineRule="auto"/>
        <w:tabs>
          <w:tab w:leader="none" w:pos="269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Schedule 1.77(b) sets forth a list of all Products that have Net Sales in the Territory that the Parties agree are Covered by an issued or allowed Licensed Patent (as well as the issued or allowed Licensed Patents that the Parties agree Cover such Products) on a country-by-country basis as of the Amendment No. 2 Effective Date and thus would be Royalty Bearing Products in such country under the definition of Royalty Bearing Products that will be in effect commencing July 1, 2022 if the scope of the issued or allowed Licensed Patents does not change between the Amendment No. 2 Effective Date and July 1, 2022.</w:t>
      </w:r>
    </w:p>
    <w:p>
      <w:pPr>
        <w:spacing w:after="0" w:line="186" w:lineRule="exact"/>
        <w:rPr>
          <w:rFonts w:ascii="Arial" w:cs="Arial" w:eastAsia="Arial" w:hAnsi="Arial"/>
          <w:sz w:val="19"/>
          <w:szCs w:val="19"/>
          <w:color w:val="auto"/>
        </w:rPr>
      </w:pPr>
    </w:p>
    <w:p>
      <w:pPr>
        <w:jc w:val="both"/>
        <w:ind w:left="2360" w:right="400" w:firstLine="561"/>
        <w:spacing w:after="0" w:line="248" w:lineRule="auto"/>
        <w:tabs>
          <w:tab w:leader="none" w:pos="3457"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The Parties hereby agree that: (i) the issued or allowed Licensed Patents identified at Schedule 1.77(b) Cover an Exon 51 Skipping Product, an Exon 53 Skipping Product or an Exon 45 Skipping Product as of the Amendment No. 2 Effective Date; and (ii) for all purposes of this Agreement, no Licensed Patents claiming priority to </w:t>
      </w:r>
      <w:r>
        <w:rPr>
          <w:rFonts w:ascii="Arial" w:cs="Arial" w:eastAsia="Arial" w:hAnsi="Arial"/>
          <w:sz w:val="18"/>
          <w:szCs w:val="18"/>
          <w:color w:val="auto"/>
        </w:rPr>
        <w:t>[**]</w:t>
      </w:r>
      <w:r>
        <w:rPr>
          <w:rFonts w:ascii="Arial" w:cs="Arial" w:eastAsia="Arial" w:hAnsi="Arial"/>
          <w:sz w:val="21"/>
          <w:szCs w:val="21"/>
          <w:color w:val="auto"/>
        </w:rPr>
        <w:t xml:space="preserve">, and issuing after the Amendment No. 2 Effective Date, will be deemedto Cover an Exon 51 Skipping Product,an Exon 53 Skipping Product or an Exon 45 Skipping Product, including, but not limited to </w:t>
      </w:r>
      <w:r>
        <w:rPr>
          <w:rFonts w:ascii="Arial" w:cs="Arial" w:eastAsia="Arial" w:hAnsi="Arial"/>
          <w:sz w:val="18"/>
          <w:szCs w:val="18"/>
          <w:color w:val="auto"/>
        </w:rPr>
        <w:t>[**]</w:t>
      </w:r>
      <w:r>
        <w:rPr>
          <w:rFonts w:ascii="Arial" w:cs="Arial" w:eastAsia="Arial" w:hAnsi="Arial"/>
          <w:sz w:val="21"/>
          <w:szCs w:val="21"/>
          <w:color w:val="auto"/>
        </w:rPr>
        <w:t xml:space="preserve"> upon its issuance. Any disputes regarding whether Licensed Patents (other than Licensed Patents claiming priority to </w:t>
      </w:r>
      <w:r>
        <w:rPr>
          <w:rFonts w:ascii="Arial" w:cs="Arial" w:eastAsia="Arial" w:hAnsi="Arial"/>
          <w:sz w:val="18"/>
          <w:szCs w:val="18"/>
          <w:color w:val="auto"/>
        </w:rPr>
        <w:t>[**]</w:t>
      </w:r>
      <w:r>
        <w:rPr>
          <w:rFonts w:ascii="Arial" w:cs="Arial" w:eastAsia="Arial" w:hAnsi="Arial"/>
          <w:sz w:val="20"/>
          <w:szCs w:val="20"/>
          <w:color w:val="auto"/>
        </w:rPr>
        <w:t>, including, but not limited to</w:t>
      </w:r>
      <w:r>
        <w:rPr>
          <w:rFonts w:ascii="Arial" w:cs="Arial" w:eastAsia="Arial" w:hAnsi="Arial"/>
          <w:sz w:val="18"/>
          <w:szCs w:val="18"/>
          <w:color w:val="auto"/>
        </w:rPr>
        <w:t xml:space="preserve"> [**] </w:t>
      </w:r>
      <w:r>
        <w:rPr>
          <w:rFonts w:ascii="Arial" w:cs="Arial" w:eastAsia="Arial" w:hAnsi="Arial"/>
          <w:sz w:val="20"/>
          <w:szCs w:val="20"/>
          <w:color w:val="auto"/>
        </w:rPr>
        <w:t>upon its issuance) issuing or allowed before or after the</w:t>
      </w:r>
      <w:r>
        <w:rPr>
          <w:rFonts w:ascii="Arial" w:cs="Arial" w:eastAsia="Arial" w:hAnsi="Arial"/>
          <w:sz w:val="18"/>
          <w:szCs w:val="18"/>
          <w:color w:val="auto"/>
        </w:rPr>
        <w:t xml:space="preserve"> </w:t>
      </w:r>
      <w:r>
        <w:rPr>
          <w:rFonts w:ascii="Arial" w:cs="Arial" w:eastAsia="Arial" w:hAnsi="Arial"/>
          <w:sz w:val="20"/>
          <w:szCs w:val="20"/>
          <w:color w:val="auto"/>
        </w:rPr>
        <w:t>Amendment No. 2 Effective Date Cover an Exon 51 Skipping Product, an Exon 53 Skipping Product, or an Exon 45 Skipping Product will be addressed as provided in Section 6.4 of the Agreement (Patent Coverage Disputes).</w:t>
      </w:r>
    </w:p>
    <w:p>
      <w:pPr>
        <w:spacing w:after="0" w:line="214" w:lineRule="exact"/>
        <w:rPr>
          <w:sz w:val="20"/>
          <w:szCs w:val="20"/>
          <w:color w:val="auto"/>
        </w:rPr>
      </w:pPr>
    </w:p>
    <w:p>
      <w:pPr>
        <w:ind w:left="840" w:right="580" w:hanging="728"/>
        <w:spacing w:after="0" w:line="256" w:lineRule="auto"/>
        <w:tabs>
          <w:tab w:leader="none" w:pos="840" w:val="left"/>
        </w:tabs>
        <w:numPr>
          <w:ilvl w:val="0"/>
          <w:numId w:val="121"/>
        </w:numPr>
        <w:rPr>
          <w:rFonts w:ascii="Arial" w:cs="Arial" w:eastAsia="Arial" w:hAnsi="Arial"/>
          <w:sz w:val="22"/>
          <w:szCs w:val="22"/>
          <w:color w:val="auto"/>
        </w:rPr>
      </w:pPr>
      <w:r>
        <w:rPr>
          <w:rFonts w:ascii="Arial" w:cs="Arial" w:eastAsia="Arial" w:hAnsi="Arial"/>
          <w:sz w:val="22"/>
          <w:szCs w:val="22"/>
          <w:b w:val="1"/>
          <w:bCs w:val="1"/>
          <w:u w:val="single" w:color="auto"/>
          <w:color w:val="auto"/>
        </w:rPr>
        <w:t>Royalty Rate Adjustments</w:t>
      </w:r>
      <w:r>
        <w:rPr>
          <w:rFonts w:ascii="Arial" w:cs="Arial" w:eastAsia="Arial" w:hAnsi="Arial"/>
          <w:sz w:val="22"/>
          <w:szCs w:val="22"/>
          <w:color w:val="auto"/>
        </w:rPr>
        <w:t>. Section 4.4.1 of the Current Agreement is hereby deleted in its entirety and replaced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following:</w:t>
      </w:r>
    </w:p>
    <w:p>
      <w:pPr>
        <w:spacing w:after="0" w:line="203" w:lineRule="exact"/>
        <w:rPr>
          <w:sz w:val="20"/>
          <w:szCs w:val="20"/>
          <w:color w:val="auto"/>
        </w:rPr>
      </w:pPr>
    </w:p>
    <w:p>
      <w:pPr>
        <w:ind w:left="1620" w:right="420" w:hanging="749"/>
        <w:spacing w:after="0" w:line="243" w:lineRule="auto"/>
        <w:rPr>
          <w:sz w:val="20"/>
          <w:szCs w:val="20"/>
          <w:color w:val="auto"/>
        </w:rPr>
      </w:pPr>
      <w:r>
        <w:rPr>
          <w:rFonts w:ascii="Arial" w:cs="Arial" w:eastAsia="Arial" w:hAnsi="Arial"/>
          <w:sz w:val="22"/>
          <w:szCs w:val="22"/>
          <w:b w:val="1"/>
          <w:bCs w:val="1"/>
          <w:color w:val="auto"/>
        </w:rPr>
        <w:t>4.4.1 Royalty Rates</w:t>
      </w:r>
      <w:r>
        <w:rPr>
          <w:rFonts w:ascii="Arial" w:cs="Arial" w:eastAsia="Arial" w:hAnsi="Arial"/>
          <w:sz w:val="22"/>
          <w:szCs w:val="22"/>
          <w:color w:val="auto"/>
        </w:rPr>
        <w:t>. Subject to the terms and conditions of this Agreement and commencing upon the beginning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first Calendar Quarter, Sarepta will pay</w:t>
      </w:r>
    </w:p>
    <w:p>
      <w:pPr>
        <w:jc w:val="center"/>
        <w:spacing w:after="0" w:line="225" w:lineRule="auto"/>
        <w:rPr>
          <w:sz w:val="20"/>
          <w:szCs w:val="20"/>
          <w:color w:val="auto"/>
        </w:rPr>
      </w:pPr>
      <w:r>
        <w:rPr>
          <w:rFonts w:ascii="Arial" w:cs="Arial" w:eastAsia="Arial" w:hAnsi="Arial"/>
          <w:sz w:val="20"/>
          <w:szCs w:val="20"/>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120253029_3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center"/>
        <w:ind w:left="900" w:right="20"/>
        <w:spacing w:after="0" w:line="250"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87" w:lineRule="exact"/>
        <w:rPr>
          <w:sz w:val="20"/>
          <w:szCs w:val="20"/>
          <w:color w:val="auto"/>
        </w:rPr>
      </w:pPr>
    </w:p>
    <w:p>
      <w:pPr>
        <w:ind w:left="8720"/>
        <w:spacing w:after="0"/>
        <w:rPr>
          <w:sz w:val="20"/>
          <w:szCs w:val="20"/>
          <w:color w:val="auto"/>
        </w:rPr>
      </w:pPr>
      <w:r>
        <w:rPr>
          <w:rFonts w:ascii="Arial" w:cs="Arial" w:eastAsia="Arial" w:hAnsi="Arial"/>
          <w:sz w:val="21"/>
          <w:szCs w:val="21"/>
          <w:b w:val="1"/>
          <w:bCs w:val="1"/>
          <w:i w:val="1"/>
          <w:iCs w:val="1"/>
          <w:color w:val="auto"/>
        </w:rPr>
        <w:t>HIGHLY CONFIDENTIAL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53" w:lineRule="exact"/>
        <w:rPr>
          <w:sz w:val="20"/>
          <w:szCs w:val="20"/>
          <w:color w:val="auto"/>
        </w:rPr>
      </w:pPr>
    </w:p>
    <w:p>
      <w:pPr>
        <w:jc w:val="both"/>
        <w:ind w:left="1620" w:right="420"/>
        <w:spacing w:after="0"/>
        <w:rPr>
          <w:sz w:val="20"/>
          <w:szCs w:val="20"/>
          <w:color w:val="auto"/>
        </w:rPr>
      </w:pPr>
      <w:r>
        <w:rPr>
          <w:rFonts w:ascii="Arial" w:cs="Arial" w:eastAsia="Arial" w:hAnsi="Arial"/>
          <w:sz w:val="22"/>
          <w:szCs w:val="22"/>
          <w:color w:val="auto"/>
        </w:rPr>
        <w:t>to BioMarin, on a Royalty Bearing Product-by-Royalty Bearing Product and country- by-country basis, royalties on the Net Sales of Royalty Bearing Products during the applicable Royalty Term as set forth below:</w:t>
      </w:r>
    </w:p>
    <w:p>
      <w:pPr>
        <w:spacing w:after="0" w:line="227" w:lineRule="exact"/>
        <w:rPr>
          <w:sz w:val="20"/>
          <w:szCs w:val="20"/>
          <w:color w:val="auto"/>
        </w:rPr>
      </w:pPr>
    </w:p>
    <w:tbl>
      <w:tblPr>
        <w:tblLayout w:type="fixed"/>
        <w:tblInd w:w="2160" w:type="dxa"/>
        <w:tblCellMar>
          <w:top w:w="0" w:type="dxa"/>
          <w:left w:w="0" w:type="dxa"/>
          <w:bottom w:w="0" w:type="dxa"/>
          <w:right w:w="0" w:type="dxa"/>
        </w:tblCellMar>
      </w:tblPr>
      <w:tr>
        <w:trPr>
          <w:trHeight w:val="274"/>
        </w:trPr>
        <w:tc>
          <w:tcPr>
            <w:tcW w:w="6140" w:type="dxa"/>
            <w:vAlign w:val="bottom"/>
          </w:tcPr>
          <w:p>
            <w:pPr>
              <w:spacing w:after="0"/>
              <w:rPr>
                <w:sz w:val="20"/>
                <w:szCs w:val="20"/>
                <w:color w:val="auto"/>
              </w:rPr>
            </w:pPr>
            <w:r>
              <w:rPr>
                <w:rFonts w:ascii="Arial" w:cs="Arial" w:eastAsia="Arial" w:hAnsi="Arial"/>
                <w:sz w:val="22"/>
                <w:szCs w:val="22"/>
                <w:i w:val="1"/>
                <w:iCs w:val="1"/>
                <w:color w:val="auto"/>
              </w:rPr>
              <w:t>Prior to July 1, 2022:</w:t>
            </w:r>
          </w:p>
        </w:tc>
        <w:tc>
          <w:tcPr>
            <w:tcW w:w="2360" w:type="dxa"/>
            <w:vAlign w:val="bottom"/>
          </w:tcPr>
          <w:p>
            <w:pPr>
              <w:jc w:val="right"/>
              <w:spacing w:after="0"/>
              <w:rPr>
                <w:sz w:val="20"/>
                <w:szCs w:val="20"/>
                <w:color w:val="auto"/>
              </w:rPr>
            </w:pPr>
            <w:r>
              <w:rPr>
                <w:rFonts w:ascii="Arial" w:cs="Arial" w:eastAsia="Arial" w:hAnsi="Arial"/>
                <w:sz w:val="22"/>
                <w:szCs w:val="22"/>
                <w:i w:val="1"/>
                <w:iCs w:val="1"/>
                <w:color w:val="auto"/>
              </w:rPr>
              <w:t>Royalty Rate</w:t>
            </w:r>
          </w:p>
        </w:tc>
      </w:tr>
      <w:tr>
        <w:trPr>
          <w:trHeight w:val="374"/>
        </w:trPr>
        <w:tc>
          <w:tcPr>
            <w:tcW w:w="6140" w:type="dxa"/>
            <w:vAlign w:val="bottom"/>
          </w:tcPr>
          <w:p>
            <w:pPr>
              <w:spacing w:after="0"/>
              <w:rPr>
                <w:sz w:val="20"/>
                <w:szCs w:val="20"/>
                <w:color w:val="auto"/>
              </w:rPr>
            </w:pPr>
            <w:r>
              <w:rPr>
                <w:rFonts w:ascii="Arial" w:cs="Arial" w:eastAsia="Arial" w:hAnsi="Arial"/>
                <w:sz w:val="22"/>
                <w:szCs w:val="22"/>
                <w:color w:val="auto"/>
              </w:rPr>
              <w:t>(a) Net Sales of a Royalty Bearing Product in the United</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4"/>
        </w:trPr>
        <w:tc>
          <w:tcPr>
            <w:tcW w:w="6140" w:type="dxa"/>
            <w:vAlign w:val="bottom"/>
          </w:tcPr>
          <w:p>
            <w:pPr>
              <w:spacing w:after="0"/>
              <w:rPr>
                <w:sz w:val="20"/>
                <w:szCs w:val="20"/>
                <w:color w:val="auto"/>
              </w:rPr>
            </w:pPr>
            <w:r>
              <w:rPr>
                <w:rFonts w:ascii="Arial" w:cs="Arial" w:eastAsia="Arial" w:hAnsi="Arial"/>
                <w:sz w:val="22"/>
                <w:szCs w:val="22"/>
                <w:color w:val="auto"/>
              </w:rPr>
              <w:t>States in a Calendar Quarter prior to July 1, 2022</w:t>
            </w:r>
          </w:p>
        </w:tc>
        <w:tc>
          <w:tcPr>
            <w:tcW w:w="2360" w:type="dxa"/>
            <w:vAlign w:val="bottom"/>
          </w:tcPr>
          <w:p>
            <w:pPr>
              <w:spacing w:after="0"/>
              <w:rPr>
                <w:sz w:val="23"/>
                <w:szCs w:val="23"/>
                <w:color w:val="auto"/>
              </w:rPr>
            </w:pPr>
          </w:p>
        </w:tc>
      </w:tr>
      <w:tr>
        <w:trPr>
          <w:trHeight w:val="476"/>
        </w:trPr>
        <w:tc>
          <w:tcPr>
            <w:tcW w:w="6140" w:type="dxa"/>
            <w:vAlign w:val="bottom"/>
          </w:tcPr>
          <w:p>
            <w:pPr>
              <w:spacing w:after="0"/>
              <w:rPr>
                <w:sz w:val="20"/>
                <w:szCs w:val="20"/>
                <w:color w:val="auto"/>
              </w:rPr>
            </w:pPr>
            <w:r>
              <w:rPr>
                <w:rFonts w:ascii="Arial" w:cs="Arial" w:eastAsia="Arial" w:hAnsi="Arial"/>
                <w:sz w:val="22"/>
                <w:szCs w:val="22"/>
                <w:color w:val="auto"/>
              </w:rPr>
              <w:t>(b) Net Sales of a Royalty Bearing Product outside the</w:t>
            </w:r>
          </w:p>
        </w:tc>
        <w:tc>
          <w:tcPr>
            <w:tcW w:w="23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4"/>
        </w:trPr>
        <w:tc>
          <w:tcPr>
            <w:tcW w:w="6140" w:type="dxa"/>
            <w:vAlign w:val="bottom"/>
          </w:tcPr>
          <w:p>
            <w:pPr>
              <w:spacing w:after="0"/>
              <w:rPr>
                <w:sz w:val="20"/>
                <w:szCs w:val="20"/>
                <w:color w:val="auto"/>
              </w:rPr>
            </w:pPr>
            <w:r>
              <w:rPr>
                <w:rFonts w:ascii="Arial" w:cs="Arial" w:eastAsia="Arial" w:hAnsi="Arial"/>
                <w:sz w:val="22"/>
                <w:szCs w:val="22"/>
                <w:color w:val="auto"/>
              </w:rPr>
              <w:t>United States in a Calendar Quarter prior to July 1, 2022</w:t>
            </w:r>
          </w:p>
        </w:tc>
        <w:tc>
          <w:tcPr>
            <w:tcW w:w="2360" w:type="dxa"/>
            <w:vAlign w:val="bottom"/>
          </w:tcPr>
          <w:p>
            <w:pPr>
              <w:spacing w:after="0"/>
              <w:rPr>
                <w:sz w:val="23"/>
                <w:szCs w:val="23"/>
                <w:color w:val="auto"/>
              </w:rPr>
            </w:pPr>
          </w:p>
        </w:tc>
      </w:tr>
      <w:tr>
        <w:trPr>
          <w:trHeight w:val="708"/>
        </w:trPr>
        <w:tc>
          <w:tcPr>
            <w:tcW w:w="6140" w:type="dxa"/>
            <w:vAlign w:val="bottom"/>
          </w:tcPr>
          <w:p>
            <w:pPr>
              <w:spacing w:after="0"/>
              <w:rPr>
                <w:sz w:val="20"/>
                <w:szCs w:val="20"/>
                <w:color w:val="auto"/>
              </w:rPr>
            </w:pPr>
            <w:r>
              <w:rPr>
                <w:rFonts w:ascii="Arial" w:cs="Arial" w:eastAsia="Arial" w:hAnsi="Arial"/>
                <w:sz w:val="22"/>
                <w:szCs w:val="22"/>
                <w:i w:val="1"/>
                <w:iCs w:val="1"/>
                <w:color w:val="auto"/>
              </w:rPr>
              <w:t>On and after July 1, 2022:</w:t>
            </w:r>
          </w:p>
        </w:tc>
        <w:tc>
          <w:tcPr>
            <w:tcW w:w="2360" w:type="dxa"/>
            <w:vAlign w:val="bottom"/>
          </w:tcPr>
          <w:p>
            <w:pPr>
              <w:jc w:val="right"/>
              <w:spacing w:after="0"/>
              <w:rPr>
                <w:sz w:val="20"/>
                <w:szCs w:val="20"/>
                <w:color w:val="auto"/>
              </w:rPr>
            </w:pPr>
            <w:r>
              <w:rPr>
                <w:rFonts w:ascii="Arial" w:cs="Arial" w:eastAsia="Arial" w:hAnsi="Arial"/>
                <w:sz w:val="22"/>
                <w:szCs w:val="22"/>
                <w:i w:val="1"/>
                <w:iCs w:val="1"/>
                <w:color w:val="auto"/>
              </w:rPr>
              <w:t>Royalty Rate</w:t>
            </w:r>
          </w:p>
        </w:tc>
      </w:tr>
      <w:tr>
        <w:trPr>
          <w:trHeight w:val="441"/>
        </w:trPr>
        <w:tc>
          <w:tcPr>
            <w:tcW w:w="6140" w:type="dxa"/>
            <w:vAlign w:val="bottom"/>
          </w:tcPr>
          <w:p>
            <w:pPr>
              <w:spacing w:after="0"/>
              <w:rPr>
                <w:sz w:val="20"/>
                <w:szCs w:val="20"/>
                <w:color w:val="auto"/>
              </w:rPr>
            </w:pPr>
            <w:r>
              <w:rPr>
                <w:rFonts w:ascii="Arial" w:cs="Arial" w:eastAsia="Arial" w:hAnsi="Arial"/>
                <w:sz w:val="22"/>
                <w:szCs w:val="22"/>
                <w:color w:val="auto"/>
              </w:rPr>
              <w:t>(c) Net Sales of a Royalty Bearing Product in the United</w:t>
            </w:r>
          </w:p>
        </w:tc>
        <w:tc>
          <w:tcPr>
            <w:tcW w:w="23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4"/>
        </w:trPr>
        <w:tc>
          <w:tcPr>
            <w:tcW w:w="6140" w:type="dxa"/>
            <w:vAlign w:val="bottom"/>
          </w:tcPr>
          <w:p>
            <w:pPr>
              <w:spacing w:after="0"/>
              <w:rPr>
                <w:sz w:val="20"/>
                <w:szCs w:val="20"/>
                <w:color w:val="auto"/>
              </w:rPr>
            </w:pPr>
            <w:r>
              <w:rPr>
                <w:rFonts w:ascii="Arial" w:cs="Arial" w:eastAsia="Arial" w:hAnsi="Arial"/>
                <w:sz w:val="22"/>
                <w:szCs w:val="22"/>
                <w:color w:val="auto"/>
              </w:rPr>
              <w:t>States in a Calendar Quarter on and after July 1, 2022</w:t>
            </w:r>
          </w:p>
        </w:tc>
        <w:tc>
          <w:tcPr>
            <w:tcW w:w="2360" w:type="dxa"/>
            <w:vAlign w:val="bottom"/>
          </w:tcPr>
          <w:p>
            <w:pPr>
              <w:spacing w:after="0"/>
              <w:rPr>
                <w:sz w:val="23"/>
                <w:szCs w:val="23"/>
                <w:color w:val="auto"/>
              </w:rPr>
            </w:pPr>
          </w:p>
        </w:tc>
      </w:tr>
      <w:tr>
        <w:trPr>
          <w:trHeight w:val="684"/>
        </w:trPr>
        <w:tc>
          <w:tcPr>
            <w:tcW w:w="6140" w:type="dxa"/>
            <w:vAlign w:val="bottom"/>
          </w:tcPr>
          <w:p>
            <w:pPr>
              <w:spacing w:after="0"/>
              <w:rPr>
                <w:sz w:val="20"/>
                <w:szCs w:val="20"/>
                <w:color w:val="auto"/>
              </w:rPr>
            </w:pPr>
            <w:r>
              <w:rPr>
                <w:rFonts w:ascii="Arial" w:cs="Arial" w:eastAsia="Arial" w:hAnsi="Arial"/>
                <w:sz w:val="22"/>
                <w:szCs w:val="22"/>
                <w:color w:val="auto"/>
              </w:rPr>
              <w:t>(d) Net Sales of a Royalty Bearing Product outside the</w:t>
            </w:r>
          </w:p>
        </w:tc>
        <w:tc>
          <w:tcPr>
            <w:tcW w:w="23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16"/>
        </w:trPr>
        <w:tc>
          <w:tcPr>
            <w:tcW w:w="6140" w:type="dxa"/>
            <w:vAlign w:val="bottom"/>
          </w:tcPr>
          <w:p>
            <w:pPr>
              <w:spacing w:after="0" w:line="216" w:lineRule="exact"/>
              <w:rPr>
                <w:sz w:val="20"/>
                <w:szCs w:val="20"/>
                <w:color w:val="auto"/>
              </w:rPr>
            </w:pPr>
            <w:r>
              <w:rPr>
                <w:rFonts w:ascii="Arial" w:cs="Arial" w:eastAsia="Arial" w:hAnsi="Arial"/>
                <w:sz w:val="22"/>
                <w:szCs w:val="22"/>
                <w:color w:val="auto"/>
              </w:rPr>
              <w:t>United States in a Calendar Quarter on and after July 1,</w:t>
            </w:r>
          </w:p>
        </w:tc>
        <w:tc>
          <w:tcPr>
            <w:tcW w:w="2360" w:type="dxa"/>
            <w:vAlign w:val="bottom"/>
          </w:tcPr>
          <w:p>
            <w:pPr>
              <w:spacing w:after="0"/>
              <w:rPr>
                <w:sz w:val="18"/>
                <w:szCs w:val="18"/>
                <w:color w:val="auto"/>
              </w:rPr>
            </w:pPr>
          </w:p>
        </w:tc>
      </w:tr>
      <w:tr>
        <w:trPr>
          <w:trHeight w:val="274"/>
        </w:trPr>
        <w:tc>
          <w:tcPr>
            <w:tcW w:w="6140" w:type="dxa"/>
            <w:vAlign w:val="bottom"/>
          </w:tcPr>
          <w:p>
            <w:pPr>
              <w:spacing w:after="0"/>
              <w:rPr>
                <w:sz w:val="20"/>
                <w:szCs w:val="20"/>
                <w:color w:val="auto"/>
              </w:rPr>
            </w:pPr>
            <w:r>
              <w:rPr>
                <w:rFonts w:ascii="Arial" w:cs="Arial" w:eastAsia="Arial" w:hAnsi="Arial"/>
                <w:sz w:val="22"/>
                <w:szCs w:val="22"/>
                <w:color w:val="auto"/>
              </w:rPr>
              <w:t>2022</w:t>
            </w:r>
          </w:p>
        </w:tc>
        <w:tc>
          <w:tcPr>
            <w:tcW w:w="2360" w:type="dxa"/>
            <w:vAlign w:val="bottom"/>
          </w:tcPr>
          <w:p>
            <w:pPr>
              <w:spacing w:after="0"/>
              <w:rPr>
                <w:sz w:val="23"/>
                <w:szCs w:val="23"/>
                <w:color w:val="auto"/>
              </w:rPr>
            </w:pPr>
          </w:p>
        </w:tc>
      </w:tr>
    </w:tbl>
    <w:p>
      <w:pPr>
        <w:spacing w:after="0" w:line="200" w:lineRule="exact"/>
        <w:rPr>
          <w:sz w:val="20"/>
          <w:szCs w:val="20"/>
          <w:color w:val="auto"/>
        </w:rPr>
      </w:pPr>
    </w:p>
    <w:p>
      <w:pPr>
        <w:spacing w:after="0" w:line="336" w:lineRule="exact"/>
        <w:rPr>
          <w:sz w:val="20"/>
          <w:szCs w:val="20"/>
          <w:color w:val="auto"/>
        </w:rPr>
      </w:pPr>
    </w:p>
    <w:p>
      <w:pPr>
        <w:jc w:val="both"/>
        <w:ind w:left="1620" w:right="400"/>
        <w:spacing w:after="0" w:line="234" w:lineRule="auto"/>
        <w:rPr>
          <w:sz w:val="20"/>
          <w:szCs w:val="20"/>
          <w:color w:val="auto"/>
        </w:rPr>
      </w:pPr>
      <w:r>
        <w:rPr>
          <w:rFonts w:ascii="Arial" w:cs="Arial" w:eastAsia="Arial" w:hAnsi="Arial"/>
          <w:sz w:val="22"/>
          <w:szCs w:val="22"/>
          <w:color w:val="auto"/>
        </w:rPr>
        <w:t>If the manufacture, use, performance or sale of any Royalty Bearing Product is Covered by more than one Valid Claim or Patent of the Licensed Patents, multiple royalties will not be due as a result of being so covered. Following the expiration of the applicable Royalty Term in a country in the Territory with respect to a Royalty Bearing Product (but not following an earlier termination of this Agreement), the Sarepta License with respect to such Royalty Bearing Product in such country will be fully-paid, irrevocable, perpetual and royalty-free, on a Royalty Bearing Product-by-Royalty Bearing Product and country-by-country basis.</w:t>
      </w:r>
    </w:p>
    <w:p>
      <w:pPr>
        <w:spacing w:after="0" w:line="212" w:lineRule="exact"/>
        <w:rPr>
          <w:sz w:val="20"/>
          <w:szCs w:val="20"/>
          <w:color w:val="auto"/>
        </w:rPr>
      </w:pPr>
    </w:p>
    <w:p>
      <w:pPr>
        <w:ind w:left="840" w:right="420" w:hanging="728"/>
        <w:spacing w:after="0" w:line="256" w:lineRule="auto"/>
        <w:tabs>
          <w:tab w:leader="none" w:pos="840"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 of Schedules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1.77(a)</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1.77(b)</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to this Amendment No. 2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added to the Agreement as </w:t>
      </w:r>
      <w:r>
        <w:rPr>
          <w:rFonts w:ascii="Arial" w:cs="Arial" w:eastAsia="Arial" w:hAnsi="Arial"/>
          <w:sz w:val="22"/>
          <w:szCs w:val="22"/>
          <w:u w:val="single" w:color="auto"/>
          <w:color w:val="auto"/>
        </w:rPr>
        <w:t>Schedule 1.77(a)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1.77(b)</w:t>
      </w:r>
      <w:r>
        <w:rPr>
          <w:rFonts w:ascii="Arial" w:cs="Arial" w:eastAsia="Arial" w:hAnsi="Arial"/>
          <w:sz w:val="22"/>
          <w:szCs w:val="22"/>
          <w:color w:val="auto"/>
        </w:rPr>
        <w:t>.</w:t>
      </w:r>
    </w:p>
    <w:p>
      <w:pPr>
        <w:spacing w:after="0" w:line="202" w:lineRule="exact"/>
        <w:rPr>
          <w:rFonts w:ascii="Arial" w:cs="Arial" w:eastAsia="Arial" w:hAnsi="Arial"/>
          <w:sz w:val="22"/>
          <w:szCs w:val="22"/>
          <w:color w:val="auto"/>
        </w:rPr>
      </w:pPr>
    </w:p>
    <w:p>
      <w:pPr>
        <w:ind w:left="860" w:hanging="748"/>
        <w:spacing w:after="0"/>
        <w:tabs>
          <w:tab w:leader="none" w:pos="860"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Deletion of Certain Definitions and Provisions</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Section 1.12 of the Current Agreement is hereby deleted in its entirety and</w:t>
      </w:r>
    </w:p>
    <w:p>
      <w:pPr>
        <w:jc w:val="center"/>
        <w:spacing w:after="0" w:line="236" w:lineRule="auto"/>
        <w:rPr>
          <w:sz w:val="20"/>
          <w:szCs w:val="20"/>
          <w:color w:val="auto"/>
        </w:rPr>
      </w:pPr>
      <w:r>
        <w:rPr>
          <w:rFonts w:ascii="Arial" w:cs="Arial" w:eastAsia="Arial" w:hAnsi="Arial"/>
          <w:sz w:val="20"/>
          <w:szCs w:val="20"/>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120253029_3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center"/>
        <w:ind w:left="900" w:right="20"/>
        <w:spacing w:after="0" w:line="250"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87" w:lineRule="exact"/>
        <w:rPr>
          <w:sz w:val="20"/>
          <w:szCs w:val="20"/>
          <w:color w:val="auto"/>
        </w:rPr>
      </w:pPr>
    </w:p>
    <w:p>
      <w:pPr>
        <w:ind w:left="8720"/>
        <w:spacing w:after="0"/>
        <w:rPr>
          <w:sz w:val="20"/>
          <w:szCs w:val="20"/>
          <w:color w:val="auto"/>
        </w:rPr>
      </w:pPr>
      <w:r>
        <w:rPr>
          <w:rFonts w:ascii="Arial" w:cs="Arial" w:eastAsia="Arial" w:hAnsi="Arial"/>
          <w:sz w:val="21"/>
          <w:szCs w:val="21"/>
          <w:b w:val="1"/>
          <w:bCs w:val="1"/>
          <w:i w:val="1"/>
          <w:iCs w:val="1"/>
          <w:color w:val="auto"/>
        </w:rPr>
        <w:t>HIGHLY CONFIDENTIAL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53"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replaced with the following:</w:t>
      </w:r>
    </w:p>
    <w:p>
      <w:pPr>
        <w:spacing w:after="0" w:line="227"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[Reserved.]</w:t>
      </w:r>
    </w:p>
    <w:p>
      <w:pPr>
        <w:spacing w:after="0" w:line="253" w:lineRule="exact"/>
        <w:rPr>
          <w:sz w:val="20"/>
          <w:szCs w:val="20"/>
          <w:color w:val="auto"/>
        </w:rPr>
      </w:pPr>
    </w:p>
    <w:p>
      <w:pPr>
        <w:ind w:left="1580" w:hanging="719"/>
        <w:spacing w:after="0"/>
        <w:tabs>
          <w:tab w:leader="none" w:pos="15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Section 1.58 of the Current Agreement is hereby deleted in its entirety and replaced with the following:</w:t>
      </w:r>
    </w:p>
    <w:p>
      <w:pPr>
        <w:spacing w:after="0" w:line="252" w:lineRule="exact"/>
        <w:rPr>
          <w:sz w:val="20"/>
          <w:szCs w:val="20"/>
          <w:color w:val="auto"/>
        </w:rPr>
      </w:pPr>
    </w:p>
    <w:p>
      <w:pPr>
        <w:ind w:left="1620" w:right="4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Milestone Event</w:t>
      </w:r>
      <w:r>
        <w:rPr>
          <w:rFonts w:ascii="Arial" w:cs="Arial" w:eastAsia="Arial" w:hAnsi="Arial"/>
          <w:sz w:val="22"/>
          <w:szCs w:val="22"/>
          <w:color w:val="auto"/>
        </w:rPr>
        <w:t>” means any milestone event set forth in Section 4.2 (Development Milestone Payments) corresponding to a Milestone Payment.</w:t>
      </w:r>
    </w:p>
    <w:p>
      <w:pPr>
        <w:spacing w:after="0" w:line="195" w:lineRule="exact"/>
        <w:rPr>
          <w:sz w:val="20"/>
          <w:szCs w:val="20"/>
          <w:color w:val="auto"/>
        </w:rPr>
      </w:pPr>
    </w:p>
    <w:p>
      <w:pPr>
        <w:ind w:left="1580" w:hanging="719"/>
        <w:spacing w:after="0"/>
        <w:tabs>
          <w:tab w:leader="none" w:pos="158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Section 1.59 of the Current Agreement is hereby deleted in its entirety and replaced with the following:</w:t>
      </w:r>
    </w:p>
    <w:p>
      <w:pPr>
        <w:spacing w:after="0" w:line="239" w:lineRule="exact"/>
        <w:rPr>
          <w:sz w:val="20"/>
          <w:szCs w:val="20"/>
          <w:color w:val="auto"/>
        </w:rPr>
      </w:pPr>
    </w:p>
    <w:p>
      <w:pPr>
        <w:ind w:left="1620" w:right="4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Milestone Payment</w:t>
      </w:r>
      <w:r>
        <w:rPr>
          <w:rFonts w:ascii="Arial" w:cs="Arial" w:eastAsia="Arial" w:hAnsi="Arial"/>
          <w:sz w:val="22"/>
          <w:szCs w:val="22"/>
          <w:color w:val="auto"/>
        </w:rPr>
        <w:t>” means any milestone payment set forth in Section 4.2 (Development Milestone Payments) corresponding to a Milestone Event.</w:t>
      </w:r>
    </w:p>
    <w:p>
      <w:pPr>
        <w:spacing w:after="0" w:line="276" w:lineRule="exact"/>
        <w:rPr>
          <w:sz w:val="20"/>
          <w:szCs w:val="20"/>
          <w:color w:val="auto"/>
        </w:rPr>
      </w:pPr>
    </w:p>
    <w:p>
      <w:pPr>
        <w:ind w:left="1600" w:hanging="739"/>
        <w:spacing w:after="0"/>
        <w:tabs>
          <w:tab w:leader="none" w:pos="160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Section 4.3 of the Current Agreement is hereby deleted in its entirety and replaced with the following:</w:t>
      </w:r>
    </w:p>
    <w:p>
      <w:pPr>
        <w:spacing w:after="0" w:line="252" w:lineRule="exact"/>
        <w:rPr>
          <w:rFonts w:ascii="Arial" w:cs="Arial" w:eastAsia="Arial" w:hAnsi="Arial"/>
          <w:sz w:val="21"/>
          <w:szCs w:val="21"/>
          <w:color w:val="auto"/>
        </w:rPr>
      </w:pPr>
    </w:p>
    <w:p>
      <w:pPr>
        <w:ind w:left="1620"/>
        <w:spacing w:after="0"/>
        <w:rPr>
          <w:rFonts w:ascii="Arial" w:cs="Arial" w:eastAsia="Arial" w:hAnsi="Arial"/>
          <w:sz w:val="21"/>
          <w:szCs w:val="21"/>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[Reserved.]</w:t>
      </w:r>
    </w:p>
    <w:p>
      <w:pPr>
        <w:spacing w:after="0" w:line="252" w:lineRule="exact"/>
        <w:rPr>
          <w:rFonts w:ascii="Arial" w:cs="Arial" w:eastAsia="Arial" w:hAnsi="Arial"/>
          <w:sz w:val="21"/>
          <w:szCs w:val="21"/>
          <w:color w:val="auto"/>
        </w:rPr>
      </w:pPr>
    </w:p>
    <w:p>
      <w:pPr>
        <w:jc w:val="both"/>
        <w:ind w:left="1580" w:right="400" w:hanging="719"/>
        <w:spacing w:after="0" w:line="235" w:lineRule="auto"/>
        <w:tabs>
          <w:tab w:leader="none" w:pos="15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text “[**]” in the instance where it is used in Section 4.4.3(b) of the Current Agreement is hereby deleted and replaced with “same up-front and development milestone payments.” The text “[**],” in the instance where it is used in Section 4.4.3(b) of the Current Agreement is hereby deleted and replaced with “[**],”. The text “[**],” in each of the two instances where it is used in Section 4.4.3(b) of the Current Agreement, is hereby deleted in each instance from Section 4.4.3(b) of the Current Agreement and replaced with [**].”</w:t>
      </w:r>
    </w:p>
    <w:p>
      <w:pPr>
        <w:spacing w:after="0" w:line="208" w:lineRule="exact"/>
        <w:rPr>
          <w:rFonts w:ascii="Arial" w:cs="Arial" w:eastAsia="Arial" w:hAnsi="Arial"/>
          <w:sz w:val="22"/>
          <w:szCs w:val="22"/>
          <w:color w:val="auto"/>
        </w:rPr>
      </w:pPr>
    </w:p>
    <w:p>
      <w:pPr>
        <w:ind w:left="860" w:hanging="748"/>
        <w:spacing w:after="0"/>
        <w:tabs>
          <w:tab w:leader="none" w:pos="860" w:val="left"/>
        </w:tabs>
        <w:numPr>
          <w:ilvl w:val="0"/>
          <w:numId w:val="126"/>
        </w:numPr>
        <w:rPr>
          <w:rFonts w:ascii="Arial" w:cs="Arial" w:eastAsia="Arial" w:hAnsi="Arial"/>
          <w:sz w:val="22"/>
          <w:szCs w:val="22"/>
          <w:color w:val="auto"/>
        </w:rPr>
      </w:pPr>
      <w:r>
        <w:rPr>
          <w:rFonts w:ascii="Arial" w:cs="Arial" w:eastAsia="Arial" w:hAnsi="Arial"/>
          <w:sz w:val="22"/>
          <w:szCs w:val="22"/>
          <w:b w:val="1"/>
          <w:bCs w:val="1"/>
          <w:u w:val="single" w:color="auto"/>
          <w:color w:val="auto"/>
        </w:rPr>
        <w:t>Current Licensed Patents</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left="1600" w:right="120" w:hanging="739"/>
        <w:spacing w:after="0"/>
        <w:tabs>
          <w:tab w:leader="none" w:pos="16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xml:space="preserve">Effective as of the Amendment No. 2 Effective Date, </w:t>
      </w:r>
      <w:r>
        <w:rPr>
          <w:rFonts w:ascii="Arial" w:cs="Arial" w:eastAsia="Arial" w:hAnsi="Arial"/>
          <w:sz w:val="22"/>
          <w:szCs w:val="22"/>
          <w:u w:val="single" w:color="auto"/>
          <w:color w:val="auto"/>
        </w:rPr>
        <w:t>Schedule 1.57</w:t>
      </w:r>
      <w:r>
        <w:rPr>
          <w:rFonts w:ascii="Arial" w:cs="Arial" w:eastAsia="Arial" w:hAnsi="Arial"/>
          <w:sz w:val="22"/>
          <w:szCs w:val="22"/>
          <w:color w:val="auto"/>
        </w:rPr>
        <w:t xml:space="preserve"> (Licensed Patent Rights) of the Current Agreement is hereby deleted in its entirety and replaced with the </w:t>
      </w:r>
      <w:r>
        <w:rPr>
          <w:rFonts w:ascii="Arial" w:cs="Arial" w:eastAsia="Arial" w:hAnsi="Arial"/>
          <w:sz w:val="22"/>
          <w:szCs w:val="22"/>
          <w:u w:val="single" w:color="auto"/>
          <w:color w:val="auto"/>
        </w:rPr>
        <w:t>Schedule 1.57</w:t>
      </w:r>
      <w:r>
        <w:rPr>
          <w:rFonts w:ascii="Arial" w:cs="Arial" w:eastAsia="Arial" w:hAnsi="Arial"/>
          <w:sz w:val="22"/>
          <w:szCs w:val="22"/>
          <w:color w:val="auto"/>
        </w:rPr>
        <w:t xml:space="preserve"> attached to this Amendment No. 2.</w:t>
      </w:r>
    </w:p>
    <w:p>
      <w:pPr>
        <w:spacing w:after="0" w:line="226" w:lineRule="exact"/>
        <w:rPr>
          <w:rFonts w:ascii="Arial" w:cs="Arial" w:eastAsia="Arial" w:hAnsi="Arial"/>
          <w:sz w:val="22"/>
          <w:szCs w:val="22"/>
          <w:color w:val="auto"/>
        </w:rPr>
      </w:pPr>
    </w:p>
    <w:p>
      <w:pPr>
        <w:jc w:val="both"/>
        <w:ind w:left="1600" w:right="120" w:hanging="739"/>
        <w:spacing w:after="0" w:line="249" w:lineRule="auto"/>
        <w:tabs>
          <w:tab w:leader="none" w:pos="160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BioMarin represents and warrants that </w:t>
      </w:r>
      <w:r>
        <w:rPr>
          <w:rFonts w:ascii="Arial" w:cs="Arial" w:eastAsia="Arial" w:hAnsi="Arial"/>
          <w:sz w:val="21"/>
          <w:szCs w:val="21"/>
          <w:u w:val="single" w:color="auto"/>
          <w:color w:val="auto"/>
        </w:rPr>
        <w:t>Schedule 1.57</w:t>
      </w:r>
      <w:r>
        <w:rPr>
          <w:rFonts w:ascii="Arial" w:cs="Arial" w:eastAsia="Arial" w:hAnsi="Arial"/>
          <w:sz w:val="21"/>
          <w:szCs w:val="21"/>
          <w:color w:val="auto"/>
        </w:rPr>
        <w:t xml:space="preserve"> attached to this Amendment No. 2 includes all Patents in the Territory that are Controlled by BioMarin or its Affiliates as of the Amendment No. 2 Effective Date that are necessary or useful (or, with respect to patent applications, would be necessary or useful if such patent applications were to issue as patents) to research, develop, make, have made, use, sell, offer for sale, have sold, import or export any Product in the Territory.</w:t>
      </w:r>
    </w:p>
    <w:p>
      <w:pPr>
        <w:spacing w:after="0" w:line="199" w:lineRule="exact"/>
        <w:rPr>
          <w:rFonts w:ascii="Arial" w:cs="Arial" w:eastAsia="Arial" w:hAnsi="Arial"/>
          <w:sz w:val="21"/>
          <w:szCs w:val="21"/>
          <w:color w:val="auto"/>
        </w:rPr>
      </w:pPr>
    </w:p>
    <w:p>
      <w:pPr>
        <w:ind w:left="860" w:hanging="748"/>
        <w:spacing w:after="0"/>
        <w:tabs>
          <w:tab w:leader="none" w:pos="860" w:val="left"/>
        </w:tabs>
        <w:numPr>
          <w:ilvl w:val="0"/>
          <w:numId w:val="126"/>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Subsection 13.9, entitled “Entire Agreement” shall be deleted in its entirety and replaced by the</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following:</w:t>
      </w:r>
    </w:p>
    <w:p>
      <w:pPr>
        <w:jc w:val="center"/>
        <w:spacing w:after="0" w:line="225" w:lineRule="auto"/>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20"/>
          <w:szCs w:val="20"/>
          <w:color w:val="auto"/>
        </w:rPr>
        <w:t>120253029_3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jc w:val="center"/>
        <w:ind w:left="900" w:right="20"/>
        <w:spacing w:after="0" w:line="250"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SAREPTA THERAPEUTICS, INC. IF PUBLICLY DISCLOSED.</w:t>
      </w:r>
    </w:p>
    <w:p>
      <w:pPr>
        <w:spacing w:after="0" w:line="187" w:lineRule="exact"/>
        <w:rPr>
          <w:sz w:val="20"/>
          <w:szCs w:val="20"/>
          <w:color w:val="auto"/>
        </w:rPr>
      </w:pPr>
    </w:p>
    <w:p>
      <w:pPr>
        <w:ind w:left="8720"/>
        <w:spacing w:after="0"/>
        <w:rPr>
          <w:sz w:val="20"/>
          <w:szCs w:val="20"/>
          <w:color w:val="auto"/>
        </w:rPr>
      </w:pPr>
      <w:r>
        <w:rPr>
          <w:rFonts w:ascii="Arial" w:cs="Arial" w:eastAsia="Arial" w:hAnsi="Arial"/>
          <w:sz w:val="21"/>
          <w:szCs w:val="21"/>
          <w:b w:val="1"/>
          <w:bCs w:val="1"/>
          <w:i w:val="1"/>
          <w:iCs w:val="1"/>
          <w:color w:val="auto"/>
        </w:rPr>
        <w:t>HIGHLY CONFIDENTIAL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290" w:lineRule="exact"/>
        <w:rPr>
          <w:sz w:val="20"/>
          <w:szCs w:val="20"/>
          <w:color w:val="auto"/>
        </w:rPr>
      </w:pPr>
    </w:p>
    <w:p>
      <w:pPr>
        <w:jc w:val="both"/>
        <w:ind w:left="1620" w:right="860"/>
        <w:spacing w:after="0" w:line="273" w:lineRule="auto"/>
        <w:rPr>
          <w:sz w:val="20"/>
          <w:szCs w:val="20"/>
          <w:color w:val="auto"/>
        </w:rPr>
      </w:pPr>
      <w:r>
        <w:rPr>
          <w:rFonts w:ascii="Arial" w:cs="Arial" w:eastAsia="Arial" w:hAnsi="Arial"/>
          <w:sz w:val="19"/>
          <w:szCs w:val="19"/>
          <w:b w:val="1"/>
          <w:bCs w:val="1"/>
          <w:color w:val="auto"/>
        </w:rPr>
        <w:t>13.9. Entire Agreement</w:t>
      </w:r>
      <w:r>
        <w:rPr>
          <w:rFonts w:ascii="Arial" w:cs="Arial" w:eastAsia="Arial" w:hAnsi="Arial"/>
          <w:sz w:val="19"/>
          <w:szCs w:val="19"/>
          <w:color w:val="auto"/>
        </w:rPr>
        <w:t>. This Agreement and any amendment hereto, together with its Schedules,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Settlement Agreement, the 2021 Settlement Agreement, and the CDA together set forth the entire agreement and understanding of the Parties as to the subject matter hereof and supersede all proposals, oral or written, and all other prior communications between the Parties with respect to such subject matter. In the event of any conflict between a material provision of this Agreement and any Exhibit or Schedule hereto, the Agreement and any amendment hereto will control. The Parties hereby agree and acknowledge that the letters of correspondence from Sarepta to BioMarin or their respective counsel dated September 13, 2018, July 2, 2021, and September 7, 2021, and the letters of correspondence from BioMarin to Sarepta dated October 1, 2018 and August 18, 2021, in each case, shall have no legal binding effect, and in the event of any conflict, this Agreement and any amendment hereto shall control.</w:t>
      </w:r>
    </w:p>
    <w:p>
      <w:pPr>
        <w:spacing w:after="0" w:line="196" w:lineRule="exact"/>
        <w:rPr>
          <w:sz w:val="20"/>
          <w:szCs w:val="20"/>
          <w:color w:val="auto"/>
        </w:rPr>
      </w:pPr>
    </w:p>
    <w:p>
      <w:pPr>
        <w:jc w:val="both"/>
        <w:ind w:left="860" w:right="120" w:hanging="748"/>
        <w:spacing w:after="0" w:line="243" w:lineRule="auto"/>
        <w:tabs>
          <w:tab w:leader="none" w:pos="860" w:val="left"/>
        </w:tabs>
        <w:numPr>
          <w:ilvl w:val="0"/>
          <w:numId w:val="127"/>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Effect</w:t>
      </w:r>
      <w:r>
        <w:rPr>
          <w:rFonts w:ascii="Arial" w:cs="Arial" w:eastAsia="Arial" w:hAnsi="Arial"/>
          <w:sz w:val="22"/>
          <w:szCs w:val="22"/>
          <w:color w:val="auto"/>
        </w:rPr>
        <w:t>. Except as expressly modified in this Amendment No. 2, the Agreement shall continue in full force</w:t>
      </w:r>
      <w:r>
        <w:rPr>
          <w:rFonts w:ascii="Arial" w:cs="Arial" w:eastAsia="Arial" w:hAnsi="Arial"/>
          <w:sz w:val="22"/>
          <w:szCs w:val="22"/>
          <w:b w:val="1"/>
          <w:bCs w:val="1"/>
          <w:color w:val="auto"/>
        </w:rPr>
        <w:t xml:space="preserve"> </w:t>
      </w:r>
      <w:r>
        <w:rPr>
          <w:rFonts w:ascii="Arial" w:cs="Arial" w:eastAsia="Arial" w:hAnsi="Arial"/>
          <w:sz w:val="22"/>
          <w:szCs w:val="22"/>
          <w:color w:val="auto"/>
        </w:rPr>
        <w:t>and effect in accordance with its terms. The Parties agree and acknowledge that nothing in this Amendment No. 2 shall limit either Party’s rights under the Current Agreement.</w:t>
      </w:r>
    </w:p>
    <w:p>
      <w:pPr>
        <w:spacing w:after="0" w:line="217" w:lineRule="exact"/>
        <w:rPr>
          <w:rFonts w:ascii="Arial" w:cs="Arial" w:eastAsia="Arial" w:hAnsi="Arial"/>
          <w:sz w:val="22"/>
          <w:szCs w:val="22"/>
          <w:color w:val="auto"/>
        </w:rPr>
      </w:pPr>
    </w:p>
    <w:p>
      <w:pPr>
        <w:jc w:val="both"/>
        <w:ind w:left="860" w:right="140" w:hanging="748"/>
        <w:spacing w:after="0" w:line="243" w:lineRule="auto"/>
        <w:tabs>
          <w:tab w:leader="none" w:pos="860" w:val="left"/>
        </w:tabs>
        <w:numPr>
          <w:ilvl w:val="0"/>
          <w:numId w:val="127"/>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Each of the Parties represents to the other Party that all corporate formalities</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enter into this Amendment No. 2 have been obtained and that each such party has the rights to grant the rights and take on the obligations provided in this Amendment No. 2.</w:t>
      </w:r>
    </w:p>
    <w:p>
      <w:pPr>
        <w:spacing w:after="0" w:line="203" w:lineRule="exact"/>
        <w:rPr>
          <w:rFonts w:ascii="Arial" w:cs="Arial" w:eastAsia="Arial" w:hAnsi="Arial"/>
          <w:sz w:val="22"/>
          <w:szCs w:val="22"/>
          <w:color w:val="auto"/>
        </w:rPr>
      </w:pPr>
    </w:p>
    <w:p>
      <w:pPr>
        <w:jc w:val="both"/>
        <w:ind w:left="860" w:right="140" w:hanging="748"/>
        <w:spacing w:after="0" w:line="243" w:lineRule="auto"/>
        <w:tabs>
          <w:tab w:leader="none" w:pos="860" w:val="left"/>
        </w:tabs>
        <w:numPr>
          <w:ilvl w:val="0"/>
          <w:numId w:val="12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No. 2 may be executed in any number of counterparts, including by PDF signature</w:t>
      </w:r>
      <w:r>
        <w:rPr>
          <w:rFonts w:ascii="Arial" w:cs="Arial" w:eastAsia="Arial" w:hAnsi="Arial"/>
          <w:sz w:val="22"/>
          <w:szCs w:val="22"/>
          <w:b w:val="1"/>
          <w:bCs w:val="1"/>
          <w:color w:val="auto"/>
        </w:rPr>
        <w:t xml:space="preserve"> </w:t>
      </w:r>
      <w:r>
        <w:rPr>
          <w:rFonts w:ascii="Arial" w:cs="Arial" w:eastAsia="Arial" w:hAnsi="Arial"/>
          <w:sz w:val="22"/>
          <w:szCs w:val="22"/>
          <w:color w:val="auto"/>
        </w:rPr>
        <w:t>pages, each of which shall be deemed an original, but all of which together shall constitute one and the same instrument.</w:t>
      </w:r>
    </w:p>
    <w:p>
      <w:pPr>
        <w:spacing w:after="0" w:line="217" w:lineRule="exact"/>
        <w:rPr>
          <w:rFonts w:ascii="Arial" w:cs="Arial" w:eastAsia="Arial" w:hAnsi="Arial"/>
          <w:sz w:val="22"/>
          <w:szCs w:val="22"/>
          <w:color w:val="auto"/>
        </w:rPr>
      </w:pPr>
    </w:p>
    <w:p>
      <w:pPr>
        <w:ind w:left="860" w:right="140" w:hanging="748"/>
        <w:spacing w:after="0" w:line="256" w:lineRule="auto"/>
        <w:tabs>
          <w:tab w:leader="none" w:pos="860" w:val="left"/>
        </w:tabs>
        <w:numPr>
          <w:ilvl w:val="0"/>
          <w:numId w:val="127"/>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This Amendment No. 2 shall inure to the benefit of and be binding upon the Parties hereto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heirs, successors, trustees, transferees and assigns.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120253029_3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i w:val="1"/>
          <w:iCs w:val="1"/>
          <w:color w:val="auto"/>
        </w:rPr>
        <w:t>HIGHLY 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Subject to Federal Rules of Evidence 408</w:t>
      </w:r>
    </w:p>
    <w:p>
      <w:pPr>
        <w:spacing w:after="0" w:line="215" w:lineRule="exact"/>
        <w:rPr>
          <w:sz w:val="20"/>
          <w:szCs w:val="20"/>
          <w:color w:val="auto"/>
        </w:rPr>
      </w:pPr>
    </w:p>
    <w:p>
      <w:pPr>
        <w:jc w:val="both"/>
        <w:ind w:left="1140" w:right="20" w:firstLine="749"/>
        <w:spacing w:after="0" w:line="274" w:lineRule="auto"/>
        <w:rPr>
          <w:sz w:val="20"/>
          <w:szCs w:val="20"/>
          <w:color w:val="auto"/>
        </w:rPr>
      </w:pPr>
      <w:r>
        <w:rPr>
          <w:rFonts w:ascii="Arial" w:cs="Arial" w:eastAsia="Arial" w:hAnsi="Arial"/>
          <w:sz w:val="21"/>
          <w:szCs w:val="21"/>
          <w:color w:val="auto"/>
        </w:rPr>
        <w:t>IN WITNESS WHEREOF, the Parties intending to be bound have caused this Amendment No. 2 to be executed by their duly authorized representatives as of the Amendment No. 2 Effective Date.</w:t>
      </w:r>
    </w:p>
    <w:p>
      <w:pPr>
        <w:sectPr>
          <w:pgSz w:w="11900" w:h="16838" w:orient="portrait"/>
          <w:cols w:equalWidth="0" w:num="1">
            <w:col w:w="11000"/>
          </w:cols>
          <w:pgMar w:left="440" w:top="118" w:right="4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ST International Holdings Two, Inc.</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Walsh</w:t>
      </w:r>
    </w:p>
    <w:p>
      <w:pPr>
        <w:spacing w:after="0" w:line="238" w:lineRule="auto"/>
        <w:rPr>
          <w:sz w:val="20"/>
          <w:szCs w:val="20"/>
          <w:color w:val="auto"/>
        </w:rPr>
      </w:pPr>
      <w:r>
        <w:rPr>
          <w:rFonts w:ascii="Arial" w:cs="Arial" w:eastAsia="Arial" w:hAnsi="Arial"/>
          <w:sz w:val="22"/>
          <w:szCs w:val="22"/>
          <w:color w:val="auto"/>
        </w:rPr>
        <w:t>Name: Peter Walsh</w:t>
      </w:r>
    </w:p>
    <w:p>
      <w:pPr>
        <w:spacing w:after="0"/>
        <w:rPr>
          <w:sz w:val="20"/>
          <w:szCs w:val="20"/>
          <w:color w:val="auto"/>
        </w:rPr>
      </w:pPr>
      <w:r>
        <w:rPr>
          <w:rFonts w:ascii="Arial" w:cs="Arial" w:eastAsia="Arial" w:hAnsi="Arial"/>
          <w:sz w:val="22"/>
          <w:szCs w:val="22"/>
          <w:color w:val="auto"/>
        </w:rPr>
        <w:t>Title: Sr. Director, Compliance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Sarepta Therapeutics, Inc.</w:t>
      </w:r>
    </w:p>
    <w:p>
      <w:pPr>
        <w:spacing w:after="0" w:line="238" w:lineRule="auto"/>
        <w:rPr>
          <w:sz w:val="20"/>
          <w:szCs w:val="20"/>
          <w:color w:val="auto"/>
        </w:rPr>
      </w:pPr>
      <w:r>
        <w:rPr>
          <w:rFonts w:ascii="Arial" w:cs="Arial" w:eastAsia="Arial" w:hAnsi="Arial"/>
          <w:sz w:val="22"/>
          <w:szCs w:val="22"/>
          <w:u w:val="single" w:color="auto"/>
          <w:color w:val="auto"/>
        </w:rPr>
        <w:t>By: /s/ Doug Ingram</w:t>
      </w:r>
    </w:p>
    <w:p>
      <w:pPr>
        <w:spacing w:after="0" w:line="233" w:lineRule="auto"/>
        <w:rPr>
          <w:sz w:val="20"/>
          <w:szCs w:val="20"/>
          <w:color w:val="auto"/>
        </w:rPr>
      </w:pPr>
      <w:r>
        <w:rPr>
          <w:rFonts w:ascii="Arial" w:cs="Arial" w:eastAsia="Arial" w:hAnsi="Arial"/>
          <w:sz w:val="22"/>
          <w:szCs w:val="22"/>
          <w:color w:val="auto"/>
        </w:rPr>
        <w:t>Name: Doug Ingram</w:t>
      </w:r>
    </w:p>
    <w:p>
      <w:pPr>
        <w:spacing w:after="0"/>
        <w:rPr>
          <w:sz w:val="20"/>
          <w:szCs w:val="20"/>
          <w:color w:val="auto"/>
        </w:rPr>
      </w:pPr>
      <w:r>
        <w:rPr>
          <w:rFonts w:ascii="Arial" w:cs="Arial" w:eastAsia="Arial" w:hAnsi="Arial"/>
          <w:sz w:val="20"/>
          <w:szCs w:val="20"/>
          <w:color w:val="auto"/>
        </w:rPr>
        <w:t>Title: President &amp;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BioMarin Leiden Holding BV</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 Eric Davis</w:t>
      </w:r>
    </w:p>
    <w:p>
      <w:pPr>
        <w:spacing w:after="0" w:line="238" w:lineRule="auto"/>
        <w:rPr>
          <w:sz w:val="20"/>
          <w:szCs w:val="20"/>
          <w:color w:val="auto"/>
        </w:rPr>
      </w:pPr>
      <w:r>
        <w:rPr>
          <w:rFonts w:ascii="Arial" w:cs="Arial" w:eastAsia="Arial" w:hAnsi="Arial"/>
          <w:sz w:val="22"/>
          <w:szCs w:val="22"/>
          <w:color w:val="auto"/>
        </w:rPr>
        <w:t>Name: G. Eric Davis</w:t>
      </w:r>
    </w:p>
    <w:p>
      <w:pPr>
        <w:spacing w:after="0"/>
        <w:rPr>
          <w:sz w:val="20"/>
          <w:szCs w:val="20"/>
          <w:color w:val="auto"/>
        </w:rPr>
      </w:pPr>
      <w:r>
        <w:rPr>
          <w:rFonts w:ascii="Arial" w:cs="Arial" w:eastAsia="Arial" w:hAnsi="Arial"/>
          <w:sz w:val="22"/>
          <w:szCs w:val="22"/>
          <w:color w:val="auto"/>
        </w:rPr>
        <w:t>Title: Director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BioMarin Nederlands BV</w:t>
      </w:r>
    </w:p>
    <w:p>
      <w:pPr>
        <w:spacing w:after="0" w:line="238"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 Eric Davis</w:t>
      </w:r>
    </w:p>
    <w:p>
      <w:pPr>
        <w:spacing w:after="0" w:line="230" w:lineRule="auto"/>
        <w:rPr>
          <w:sz w:val="20"/>
          <w:szCs w:val="20"/>
          <w:color w:val="auto"/>
        </w:rPr>
      </w:pPr>
      <w:r>
        <w:rPr>
          <w:rFonts w:ascii="Arial" w:cs="Arial" w:eastAsia="Arial" w:hAnsi="Arial"/>
          <w:sz w:val="22"/>
          <w:szCs w:val="22"/>
          <w:color w:val="auto"/>
        </w:rPr>
        <w:t>Name: G. Eric Davis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BioMarin Technologies BV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 Eric Davis</w:t>
      </w:r>
    </w:p>
    <w:p>
      <w:pPr>
        <w:spacing w:after="0" w:line="238" w:lineRule="auto"/>
        <w:rPr>
          <w:sz w:val="20"/>
          <w:szCs w:val="20"/>
          <w:color w:val="auto"/>
        </w:rPr>
      </w:pPr>
      <w:r>
        <w:rPr>
          <w:rFonts w:ascii="Arial" w:cs="Arial" w:eastAsia="Arial" w:hAnsi="Arial"/>
          <w:sz w:val="22"/>
          <w:szCs w:val="22"/>
          <w:color w:val="auto"/>
        </w:rPr>
        <w:t>Name: G. Eric Davis</w:t>
      </w: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ectPr>
          <w:pgSz w:w="11900" w:h="16838" w:orient="portrait"/>
          <w:cols w:equalWidth="0" w:num="2">
            <w:col w:w="4260" w:space="720"/>
            <w:col w:w="6020"/>
          </w:cols>
          <w:pgMar w:left="440" w:top="11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Schedule 1.57 Licensed Patents</w:t>
      </w:r>
    </w:p>
    <w:p>
      <w:pPr>
        <w:spacing w:after="0" w:line="11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Schedule 1.77(a)</w:t>
      </w:r>
    </w:p>
    <w:p>
      <w:pPr>
        <w:spacing w:after="0" w:line="82"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 xml:space="preserve">Schedule </w:t>
      </w:r>
      <w:r>
        <w:rPr>
          <w:rFonts w:ascii="Arial" w:cs="Arial" w:eastAsia="Arial" w:hAnsi="Arial"/>
          <w:sz w:val="19"/>
          <w:szCs w:val="19"/>
          <w:b w:val="1"/>
          <w:bCs w:val="1"/>
          <w:color w:val="auto"/>
        </w:rPr>
        <w:t>1.77(b)</w:t>
      </w:r>
    </w:p>
    <w:p>
      <w:pPr>
        <w:spacing w:after="0" w:line="82"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323215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8" w:right="45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21.1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7560" w:type="dxa"/>
            <w:vAlign w:val="bottom"/>
          </w:tcPr>
          <w:p>
            <w:pPr>
              <w:ind w:left="820"/>
              <w:spacing w:after="0"/>
              <w:rPr>
                <w:sz w:val="20"/>
                <w:szCs w:val="20"/>
                <w:color w:val="auto"/>
              </w:rPr>
            </w:pPr>
            <w:r>
              <w:rPr>
                <w:rFonts w:ascii="Arial" w:cs="Arial" w:eastAsia="Arial" w:hAnsi="Arial"/>
                <w:sz w:val="20"/>
                <w:szCs w:val="20"/>
                <w:b w:val="1"/>
                <w:bCs w:val="1"/>
                <w:color w:val="auto"/>
              </w:rPr>
              <w:t>Sarepta Therapeutics, Inc.</w:t>
            </w:r>
          </w:p>
        </w:tc>
      </w:tr>
      <w:tr>
        <w:trPr>
          <w:trHeight w:val="256"/>
        </w:trPr>
        <w:tc>
          <w:tcPr>
            <w:tcW w:w="3680" w:type="dxa"/>
            <w:vAlign w:val="bottom"/>
          </w:tcPr>
          <w:p>
            <w:pPr>
              <w:spacing w:after="0"/>
              <w:rPr>
                <w:sz w:val="22"/>
                <w:szCs w:val="22"/>
                <w:color w:val="auto"/>
              </w:rPr>
            </w:pPr>
          </w:p>
        </w:tc>
        <w:tc>
          <w:tcPr>
            <w:tcW w:w="7560" w:type="dxa"/>
            <w:vAlign w:val="bottom"/>
          </w:tcPr>
          <w:p>
            <w:pPr>
              <w:ind w:left="700"/>
              <w:spacing w:after="0"/>
              <w:rPr>
                <w:sz w:val="20"/>
                <w:szCs w:val="20"/>
                <w:color w:val="auto"/>
              </w:rPr>
            </w:pPr>
            <w:r>
              <w:rPr>
                <w:rFonts w:ascii="Arial" w:cs="Arial" w:eastAsia="Arial" w:hAnsi="Arial"/>
                <w:sz w:val="20"/>
                <w:szCs w:val="20"/>
                <w:b w:val="1"/>
                <w:bCs w:val="1"/>
                <w:color w:val="auto"/>
              </w:rPr>
              <w:t>Subsidiaries of the Registrant</w:t>
            </w:r>
          </w:p>
        </w:tc>
      </w:tr>
      <w:tr>
        <w:trPr>
          <w:trHeight w:val="428"/>
        </w:trPr>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Name</w:t>
            </w:r>
          </w:p>
        </w:tc>
        <w:tc>
          <w:tcPr>
            <w:tcW w:w="7560" w:type="dxa"/>
            <w:vAlign w:val="bottom"/>
            <w:tcBorders>
              <w:bottom w:val="single" w:sz="8" w:color="auto"/>
            </w:tcBorders>
          </w:tcPr>
          <w:p>
            <w:pPr>
              <w:ind w:left="2060"/>
              <w:spacing w:after="0"/>
              <w:rPr>
                <w:sz w:val="20"/>
                <w:szCs w:val="20"/>
                <w:color w:val="auto"/>
              </w:rPr>
            </w:pPr>
            <w:r>
              <w:rPr>
                <w:rFonts w:ascii="Arial" w:cs="Arial" w:eastAsia="Arial" w:hAnsi="Arial"/>
                <w:sz w:val="20"/>
                <w:szCs w:val="20"/>
                <w:color w:val="auto"/>
              </w:rPr>
              <w:t>Jurisdiction of Incorporation</w:t>
            </w:r>
          </w:p>
        </w:tc>
      </w:tr>
      <w:tr>
        <w:trPr>
          <w:trHeight w:val="206"/>
        </w:trPr>
        <w:tc>
          <w:tcPr>
            <w:tcW w:w="3680" w:type="dxa"/>
            <w:vAlign w:val="bottom"/>
          </w:tcPr>
          <w:p>
            <w:pPr>
              <w:ind w:left="120"/>
              <w:spacing w:after="0" w:line="207" w:lineRule="exact"/>
              <w:rPr>
                <w:sz w:val="20"/>
                <w:szCs w:val="20"/>
                <w:color w:val="auto"/>
              </w:rPr>
            </w:pPr>
            <w:r>
              <w:rPr>
                <w:rFonts w:ascii="Arial" w:cs="Arial" w:eastAsia="Arial" w:hAnsi="Arial"/>
                <w:sz w:val="20"/>
                <w:szCs w:val="20"/>
                <w:color w:val="auto"/>
              </w:rPr>
              <w:t>Sarepta Securities Corp.</w:t>
            </w:r>
          </w:p>
        </w:tc>
        <w:tc>
          <w:tcPr>
            <w:tcW w:w="7560" w:type="dxa"/>
            <w:vAlign w:val="bottom"/>
          </w:tcPr>
          <w:p>
            <w:pPr>
              <w:ind w:left="2060"/>
              <w:spacing w:after="0" w:line="207" w:lineRule="exact"/>
              <w:rPr>
                <w:sz w:val="20"/>
                <w:szCs w:val="20"/>
                <w:color w:val="auto"/>
              </w:rPr>
            </w:pPr>
            <w:r>
              <w:rPr>
                <w:rFonts w:ascii="Arial" w:cs="Arial" w:eastAsia="Arial" w:hAnsi="Arial"/>
                <w:sz w:val="20"/>
                <w:szCs w:val="20"/>
                <w:color w:val="auto"/>
              </w:rPr>
              <w:t>Massachusetts, USA</w:t>
            </w:r>
          </w:p>
        </w:tc>
      </w:tr>
      <w:tr>
        <w:trPr>
          <w:trHeight w:val="230"/>
        </w:trPr>
        <w:tc>
          <w:tcPr>
            <w:tcW w:w="3680" w:type="dxa"/>
            <w:vAlign w:val="bottom"/>
          </w:tcPr>
          <w:p>
            <w:pPr>
              <w:ind w:left="120"/>
              <w:spacing w:after="0"/>
              <w:rPr>
                <w:sz w:val="20"/>
                <w:szCs w:val="20"/>
                <w:color w:val="auto"/>
              </w:rPr>
            </w:pPr>
            <w:r>
              <w:rPr>
                <w:rFonts w:ascii="Arial" w:cs="Arial" w:eastAsia="Arial" w:hAnsi="Arial"/>
                <w:sz w:val="20"/>
                <w:szCs w:val="20"/>
                <w:color w:val="auto"/>
              </w:rPr>
              <w:t>ST International Holdings Two, Inc.</w:t>
            </w:r>
          </w:p>
        </w:tc>
        <w:tc>
          <w:tcPr>
            <w:tcW w:w="7560" w:type="dxa"/>
            <w:vAlign w:val="bottom"/>
          </w:tcPr>
          <w:p>
            <w:pPr>
              <w:ind w:left="2060"/>
              <w:spacing w:after="0"/>
              <w:rPr>
                <w:sz w:val="20"/>
                <w:szCs w:val="20"/>
                <w:color w:val="auto"/>
              </w:rPr>
            </w:pPr>
            <w:r>
              <w:rPr>
                <w:rFonts w:ascii="Arial" w:cs="Arial" w:eastAsia="Arial" w:hAnsi="Arial"/>
                <w:sz w:val="20"/>
                <w:szCs w:val="20"/>
                <w:color w:val="auto"/>
              </w:rPr>
              <w:t>Delaware, USA</w:t>
            </w:r>
          </w:p>
        </w:tc>
      </w:tr>
      <w:tr>
        <w:trPr>
          <w:trHeight w:val="250"/>
        </w:trPr>
        <w:tc>
          <w:tcPr>
            <w:tcW w:w="3680" w:type="dxa"/>
            <w:vAlign w:val="bottom"/>
          </w:tcPr>
          <w:p>
            <w:pPr>
              <w:ind w:left="120"/>
              <w:spacing w:after="0"/>
              <w:rPr>
                <w:sz w:val="20"/>
                <w:szCs w:val="20"/>
                <w:color w:val="auto"/>
              </w:rPr>
            </w:pPr>
            <w:r>
              <w:rPr>
                <w:rFonts w:ascii="Arial" w:cs="Arial" w:eastAsia="Arial" w:hAnsi="Arial"/>
                <w:sz w:val="20"/>
                <w:szCs w:val="20"/>
                <w:color w:val="auto"/>
              </w:rPr>
              <w:t>Sarepta Therapeutics Three, LLC</w:t>
            </w:r>
          </w:p>
        </w:tc>
        <w:tc>
          <w:tcPr>
            <w:tcW w:w="7560" w:type="dxa"/>
            <w:vAlign w:val="bottom"/>
          </w:tcPr>
          <w:p>
            <w:pPr>
              <w:ind w:left="2060"/>
              <w:spacing w:after="0"/>
              <w:rPr>
                <w:sz w:val="20"/>
                <w:szCs w:val="20"/>
                <w:color w:val="auto"/>
              </w:rPr>
            </w:pPr>
            <w:r>
              <w:rPr>
                <w:rFonts w:ascii="Arial" w:cs="Arial" w:eastAsia="Arial" w:hAnsi="Arial"/>
                <w:sz w:val="20"/>
                <w:szCs w:val="20"/>
                <w:color w:val="auto"/>
              </w:rPr>
              <w:t>Delaware, USA</w:t>
            </w:r>
          </w:p>
        </w:tc>
      </w:tr>
      <w:tr>
        <w:trPr>
          <w:trHeight w:val="543"/>
        </w:trPr>
        <w:tc>
          <w:tcPr>
            <w:tcW w:w="36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statements (No. 333-234698) on Form S-3ASR and (Nos. 333-101826, 333-172823, 333-175031, 333-192287, 333-199037, 333-209710, 333-213022, 333-34047, 333-49994, 333-49996, 333-221271, 333-228719, 333-233715 and 333-240996) on Form S-8 of our report dated March 1, 2022, with respect to the consolidated financial statements of Sarepta Therapeutics, Inc. and the effectiveness of internal control over financial reporting.</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Douglas S. Ingram, certify that:</w:t>
      </w:r>
    </w:p>
    <w:p>
      <w:pPr>
        <w:spacing w:after="0" w:line="104" w:lineRule="exact"/>
        <w:rPr>
          <w:sz w:val="20"/>
          <w:szCs w:val="20"/>
          <w:color w:val="auto"/>
        </w:rPr>
      </w:pPr>
    </w:p>
    <w:p>
      <w:pPr>
        <w:ind w:left="700" w:hanging="183"/>
        <w:spacing w:after="0"/>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Sarepta Therapeutics, Inc., (the “Registrant”);</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517"/>
        <w:spacing w:after="0" w:line="248" w:lineRule="auto"/>
        <w:tabs>
          <w:tab w:leader="none" w:pos="6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ind w:right="260" w:firstLine="517"/>
        <w:spacing w:after="0" w:line="248" w:lineRule="auto"/>
        <w:tabs>
          <w:tab w:leader="none" w:pos="7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517"/>
        <w:spacing w:after="0" w:line="248" w:lineRule="auto"/>
        <w:tabs>
          <w:tab w:leader="none" w:pos="7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720" w:firstLine="517"/>
        <w:spacing w:after="0" w:line="324" w:lineRule="auto"/>
        <w:tabs>
          <w:tab w:leader="none" w:pos="75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140" w:firstLine="517"/>
        <w:spacing w:after="0" w:line="248" w:lineRule="auto"/>
        <w:tabs>
          <w:tab w:leader="none" w:pos="7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sz w:val="20"/>
          <w:szCs w:val="20"/>
          <w:color w:val="auto"/>
        </w:rPr>
      </w:pPr>
    </w:p>
    <w:p>
      <w:pPr>
        <w:ind w:right="160" w:firstLine="517"/>
        <w:spacing w:after="0" w:line="324" w:lineRule="auto"/>
        <w:tabs>
          <w:tab w:leader="none" w:pos="68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180" w:firstLine="517"/>
        <w:spacing w:after="0" w:line="261" w:lineRule="auto"/>
        <w:tabs>
          <w:tab w:leader="none" w:pos="7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517"/>
        <w:spacing w:after="0" w:line="261" w:lineRule="auto"/>
        <w:tabs>
          <w:tab w:leader="none" w:pos="7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540" w:val="left"/>
        </w:tabs>
        <w:rPr>
          <w:sz w:val="20"/>
          <w:szCs w:val="20"/>
          <w:color w:val="auto"/>
        </w:rPr>
      </w:pP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6350</wp:posOffset>
            </wp:positionV>
            <wp:extent cx="297434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Douglas S. Ingram</w:t>
      </w:r>
    </w:p>
    <w:p>
      <w:pPr>
        <w:ind w:left="6560"/>
        <w:spacing w:after="0" w:line="234"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Ian M. Estepan, certify that:</w:t>
      </w:r>
    </w:p>
    <w:p>
      <w:pPr>
        <w:spacing w:after="0" w:line="104" w:lineRule="exact"/>
        <w:rPr>
          <w:sz w:val="20"/>
          <w:szCs w:val="20"/>
          <w:color w:val="auto"/>
        </w:rPr>
      </w:pPr>
    </w:p>
    <w:p>
      <w:pPr>
        <w:ind w:left="700" w:hanging="183"/>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Sarepta Therapeutics, Inc., (the “Registrant”);</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517"/>
        <w:spacing w:after="0" w:line="248" w:lineRule="auto"/>
        <w:tabs>
          <w:tab w:leader="none" w:pos="6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ind w:right="260" w:firstLine="517"/>
        <w:spacing w:after="0" w:line="248" w:lineRule="auto"/>
        <w:tabs>
          <w:tab w:leader="none" w:pos="7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517"/>
        <w:spacing w:after="0" w:line="248" w:lineRule="auto"/>
        <w:tabs>
          <w:tab w:leader="none" w:pos="7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720" w:firstLine="517"/>
        <w:spacing w:after="0" w:line="324" w:lineRule="auto"/>
        <w:tabs>
          <w:tab w:leader="none" w:pos="75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140" w:firstLine="517"/>
        <w:spacing w:after="0" w:line="248" w:lineRule="auto"/>
        <w:tabs>
          <w:tab w:leader="none" w:pos="7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sz w:val="20"/>
          <w:szCs w:val="20"/>
          <w:color w:val="auto"/>
        </w:rPr>
      </w:pPr>
    </w:p>
    <w:p>
      <w:pPr>
        <w:ind w:right="160" w:firstLine="517"/>
        <w:spacing w:after="0" w:line="324" w:lineRule="auto"/>
        <w:tabs>
          <w:tab w:leader="none" w:pos="68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180" w:firstLine="517"/>
        <w:spacing w:after="0" w:line="261" w:lineRule="auto"/>
        <w:tabs>
          <w:tab w:leader="none" w:pos="7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517"/>
        <w:spacing w:after="0" w:line="261" w:lineRule="auto"/>
        <w:tabs>
          <w:tab w:leader="none" w:pos="7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540" w:val="left"/>
        </w:tabs>
        <w:rPr>
          <w:sz w:val="20"/>
          <w:szCs w:val="20"/>
          <w:color w:val="auto"/>
        </w:rPr>
      </w:pP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/s/ Ian M. Estepan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6350</wp:posOffset>
            </wp:positionV>
            <wp:extent cx="297434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Ian M. Estepan</w:t>
      </w:r>
    </w:p>
    <w:p>
      <w:pPr>
        <w:ind w:left="6560"/>
        <w:spacing w:after="0" w:line="234" w:lineRule="auto"/>
        <w:rPr>
          <w:sz w:val="20"/>
          <w:szCs w:val="20"/>
          <w:color w:val="auto"/>
        </w:rPr>
      </w:pPr>
      <w:r>
        <w:rPr>
          <w:rFonts w:ascii="Arial" w:cs="Arial" w:eastAsia="Arial" w:hAnsi="Arial"/>
          <w:sz w:val="18"/>
          <w:szCs w:val="18"/>
          <w:i w:val="1"/>
          <w:iCs w:val="1"/>
          <w:color w:val="auto"/>
        </w:rPr>
        <w:t>Executive Vice President, Chief Financial Officer</w:t>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6" w:lineRule="exact"/>
        <w:rPr>
          <w:sz w:val="20"/>
          <w:szCs w:val="20"/>
          <w:color w:val="auto"/>
        </w:rPr>
      </w:pPr>
    </w:p>
    <w:p>
      <w:pPr>
        <w:jc w:val="both"/>
        <w:ind w:right="180" w:firstLine="509"/>
        <w:spacing w:after="0" w:line="243" w:lineRule="auto"/>
        <w:rPr>
          <w:sz w:val="20"/>
          <w:szCs w:val="20"/>
          <w:color w:val="auto"/>
        </w:rPr>
      </w:pPr>
      <w:r>
        <w:rPr>
          <w:rFonts w:ascii="Arial" w:cs="Arial" w:eastAsia="Arial" w:hAnsi="Arial"/>
          <w:sz w:val="18"/>
          <w:szCs w:val="18"/>
          <w:color w:val="auto"/>
        </w:rPr>
        <w:t>I, Douglas S. Ingram, certify, pursuant to 18 U.S.C. Section 1350, as adopted pursuant to Section 906 of the Sarbanes-Oxley Act of 2002, that the Annual Report of Sarepta Therapeutics, Inc. on Form 10-K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215"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Douglas S. Ingram</w:t>
      </w:r>
    </w:p>
    <w:p>
      <w:pPr>
        <w:ind w:left="6780"/>
        <w:spacing w:after="0" w:line="234"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23"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A signed original of this written statement required by Section 906 of the Sarbanes -Oxley Act of 2002 has been provided to Sarepta Therapeutics, Inc. and will be retained by Sarepta Therapeutics, Inc. and furnished to the Securities and Exchange Commission or its staff upon request.</w:t>
      </w:r>
    </w:p>
    <w:p>
      <w:pPr>
        <w:spacing w:after="0" w:line="12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 Ian M. Estepan, certify, pursuant to 18 U.S.C. Section 1350, as adopted pursuant to Section 906 of the Sarbanes-Oxley Act of 2002, that the Annual Report of Sarepta Therapeutics, Inc. on Form 10-K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215"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/s/ Ian M. Estepan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Ian M. Estepan</w:t>
      </w:r>
    </w:p>
    <w:p>
      <w:pPr>
        <w:ind w:left="6780"/>
        <w:spacing w:after="0" w:line="234" w:lineRule="auto"/>
        <w:rPr>
          <w:sz w:val="20"/>
          <w:szCs w:val="20"/>
          <w:color w:val="auto"/>
        </w:rPr>
      </w:pPr>
      <w:r>
        <w:rPr>
          <w:rFonts w:ascii="Arial" w:cs="Arial" w:eastAsia="Arial" w:hAnsi="Arial"/>
          <w:sz w:val="18"/>
          <w:szCs w:val="18"/>
          <w:i w:val="1"/>
          <w:iCs w:val="1"/>
          <w:color w:val="auto"/>
        </w:rPr>
        <w:t>Executive Vice President, 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3"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A signed original of this written statement required by Section 906 of the Sarbanes -Oxley Act of 2002 has been provided to Sarepta Therapeutics, Inc. and will be retained by Sarepta Therapeutics, Inc. and furnished to the Securities and Exchange Commission or its staff upon request.</w:t>
      </w:r>
    </w:p>
    <w:p>
      <w:pPr>
        <w:spacing w:after="0" w:line="12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decimal"/>
      <w:start w:val="1"/>
    </w:lvl>
  </w:abstractNum>
  <w:abstractNum w:abstractNumId="12">
    <w:nsid w:val="5DC79EA8"/>
    <w:multiLevelType w:val="hybridMultilevel"/>
    <w:lvl w:ilvl="0">
      <w:lvlJc w:val="left"/>
      <w:lvlText w:val="%1."/>
      <w:numFmt w:val="decimal"/>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1)"/>
      <w:numFmt w:val="lowerRoman"/>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1)"/>
      <w:numFmt w:val="lowerRoman"/>
      <w:start w:val="2"/>
    </w:lvl>
  </w:abstractNum>
  <w:abstractNum w:abstractNumId="76">
    <w:nsid w:val="1FBFE8E0"/>
    <w:multiLevelType w:val="hybridMultilevel"/>
    <w:lvl w:ilvl="0">
      <w:lvlJc w:val="left"/>
      <w:lvlText w:val="(%1)"/>
      <w:numFmt w:val="lowerRoman"/>
      <w:start w:val="1"/>
    </w:lvl>
  </w:abstractNum>
  <w:abstractNum w:abstractNumId="77">
    <w:nsid w:val="5092CA79"/>
    <w:multiLevelType w:val="hybridMultilevel"/>
    <w:lvl w:ilvl="0">
      <w:lvlJc w:val="left"/>
      <w:lvlText w:val="(%1)"/>
      <w:numFmt w:val="lowerRoman"/>
      <w:start w:val="2"/>
    </w:lvl>
  </w:abstractNum>
  <w:abstractNum w:abstractNumId="78">
    <w:nsid w:val="1D545C4D"/>
    <w:multiLevelType w:val="hybridMultilevel"/>
    <w:lvl w:ilvl="0">
      <w:lvlJc w:val="left"/>
      <w:lvlText w:val="(%1)"/>
      <w:numFmt w:val="decimal"/>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1."/>
      <w:numFmt w:val="decimal"/>
      <w:start w:val="21"/>
    </w:lvl>
  </w:abstractNum>
  <w:abstractNum w:abstractNumId="82">
    <w:nsid w:val="1D9F6E5F"/>
    <w:multiLevelType w:val="hybridMultilevel"/>
    <w:lvl w:ilvl="0">
      <w:lvlJc w:val="left"/>
      <w:lvlText w:val="%1."/>
      <w:numFmt w:val="decimal"/>
      <w:start w:val="1"/>
    </w:lvl>
    <w:lvl w:ilvl="1">
      <w:lvlJc w:val="left"/>
      <w:lvlText w:val="%2"/>
      <w:numFmt w:val="lowerLetter"/>
      <w:start w:val="1"/>
    </w:lvl>
  </w:abstractNum>
  <w:abstractNum w:abstractNumId="83">
    <w:nsid w:val="97E1B4E"/>
    <w:multiLevelType w:val="hybridMultilevel"/>
    <w:lvl w:ilvl="0">
      <w:lvlJc w:val="left"/>
      <w:lvlText w:val="%1."/>
      <w:numFmt w:val="lowerLetter"/>
      <w:start w:val="2"/>
    </w:lvl>
  </w:abstractNum>
  <w:abstractNum w:abstractNumId="84">
    <w:nsid w:val="51088277"/>
    <w:multiLevelType w:val="hybridMultilevel"/>
    <w:lvl w:ilvl="0">
      <w:lvlJc w:val="left"/>
      <w:lvlText w:val="%1."/>
      <w:numFmt w:val="decimal"/>
      <w:start w:val="3"/>
    </w:lvl>
    <w:lvl w:ilvl="1">
      <w:lvlJc w:val="left"/>
      <w:lvlText w:val="(%2)"/>
      <w:numFmt w:val="lowerLetter"/>
      <w:start w:val="1"/>
    </w:lvl>
  </w:abstractNum>
  <w:abstractNum w:abstractNumId="85">
    <w:nsid w:val="1CA0C5FA"/>
    <w:multiLevelType w:val="hybridMultilevel"/>
    <w:lvl w:ilvl="0">
      <w:lvlJc w:val="left"/>
      <w:lvlText w:val="%1."/>
      <w:numFmt w:val="decimal"/>
      <w:start w:val="1"/>
    </w:lvl>
  </w:abstractNum>
  <w:abstractNum w:abstractNumId="86">
    <w:nsid w:val="53584BCB"/>
    <w:multiLevelType w:val="hybridMultilevel"/>
    <w:lvl w:ilvl="0">
      <w:lvlJc w:val="left"/>
      <w:lvlText w:val="%1."/>
      <w:numFmt w:val="decimal"/>
      <w:start w:val="6"/>
    </w:lvl>
  </w:abstractNum>
  <w:abstractNum w:abstractNumId="87">
    <w:nsid w:val="415E286C"/>
    <w:multiLevelType w:val="hybridMultilevel"/>
    <w:lvl w:ilvl="0">
      <w:lvlJc w:val="left"/>
      <w:lvlText w:val="%1."/>
      <w:numFmt w:val="decimal"/>
      <w:start w:val="1"/>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lowerLetter"/>
      <w:start w:val="2"/>
    </w:lvl>
  </w:abstractNum>
  <w:abstractNum w:abstractNumId="90">
    <w:nsid w:val="45E6D486"/>
    <w:multiLevelType w:val="hybridMultilevel"/>
    <w:lvl w:ilvl="0">
      <w:lvlJc w:val="left"/>
      <w:lvlText w:val="%1."/>
      <w:numFmt w:val="decimal"/>
      <w:start w:val="3"/>
    </w:lvl>
    <w:lvl w:ilvl="1">
      <w:lvlJc w:val="left"/>
      <w:lvlText w:val="(%2)"/>
      <w:numFmt w:val="lowerLetter"/>
      <w:start w:val="1"/>
    </w:lvl>
  </w:abstractNum>
  <w:abstractNum w:abstractNumId="91">
    <w:nsid w:val="5C10FE21"/>
    <w:multiLevelType w:val="hybridMultilevel"/>
    <w:lvl w:ilvl="0">
      <w:lvlJc w:val="left"/>
      <w:lvlText w:val="%1."/>
      <w:numFmt w:val="upperLetter"/>
      <w:start w:val="1"/>
    </w:lvl>
  </w:abstractNum>
  <w:abstractNum w:abstractNumId="92">
    <w:nsid w:val="E7FFA2B"/>
    <w:multiLevelType w:val="hybridMultilevel"/>
    <w:lvl w:ilvl="0">
      <w:lvlJc w:val="left"/>
      <w:lvlText w:val="%1."/>
      <w:numFmt w:val="decimal"/>
      <w:start w:val="1"/>
    </w:lvl>
    <w:lvl w:ilvl="1">
      <w:lvlJc w:val="left"/>
      <w:lvlText w:val="(%2)"/>
      <w:numFmt w:val="lowerLetter"/>
      <w:start w:val="1"/>
    </w:lvl>
  </w:abstractNum>
  <w:abstractNum w:abstractNumId="93">
    <w:nsid w:val="3C5991AA"/>
    <w:multiLevelType w:val="hybridMultilevel"/>
    <w:lvl w:ilvl="0">
      <w:lvlJc w:val="left"/>
      <w:lvlText w:val="(%1)"/>
      <w:numFmt w:val="lowerLetter"/>
      <w:start w:val="3"/>
    </w:lvl>
  </w:abstractNum>
  <w:abstractNum w:abstractNumId="94">
    <w:nsid w:val="4BD8591A"/>
    <w:multiLevelType w:val="hybridMultilevel"/>
    <w:lvl w:ilvl="0">
      <w:lvlJc w:val="left"/>
      <w:lvlText w:val="(%1)"/>
      <w:numFmt w:val="lowerLetter"/>
      <w:start w:val="4"/>
    </w:lvl>
  </w:abstractNum>
  <w:abstractNum w:abstractNumId="95">
    <w:nsid w:val="78DF6A55"/>
    <w:multiLevelType w:val="hybridMultilevel"/>
    <w:lvl w:ilvl="0">
      <w:lvlJc w:val="left"/>
      <w:lvlText w:val="%1."/>
      <w:numFmt w:val="decimal"/>
      <w:start w:val="3"/>
    </w:lvl>
    <w:lvl w:ilvl="1">
      <w:lvlJc w:val="left"/>
      <w:lvlText w:val="(%2)"/>
      <w:numFmt w:val="lowerLetter"/>
      <w:start w:val="1"/>
    </w:lvl>
  </w:abstractNum>
  <w:abstractNum w:abstractNumId="96">
    <w:nsid w:val="39B7AAA2"/>
    <w:multiLevelType w:val="hybridMultilevel"/>
    <w:lvl w:ilvl="0">
      <w:lvlJc w:val="left"/>
      <w:lvlText w:val="(%1)"/>
      <w:numFmt w:val="lowerLetter"/>
      <w:start w:val="3"/>
    </w:lvl>
    <w:lvl w:ilvl="1">
      <w:lvlJc w:val="left"/>
      <w:lvlText w:val="(%2)"/>
      <w:numFmt w:val="lowerLetter"/>
      <w:start w:val="1"/>
    </w:lvl>
  </w:abstractNum>
  <w:abstractNum w:abstractNumId="97">
    <w:nsid w:val="2B0D8DB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8">
    <w:nsid w:val="6C80EC70"/>
    <w:multiLevelType w:val="hybridMultilevel"/>
    <w:lvl w:ilvl="0">
      <w:lvlJc w:val="left"/>
      <w:lvlText w:val="%1"/>
      <w:numFmt w:val="lowerRoman"/>
      <w:start w:val="1"/>
    </w:lvl>
    <w:lvl w:ilvl="1">
      <w:lvlJc w:val="left"/>
      <w:lvlText w:val="%2."/>
      <w:numFmt w:val="lowerRoman"/>
      <w:start w:val="2"/>
    </w:lvl>
  </w:abstractNum>
  <w:abstractNum w:abstractNumId="99">
    <w:nsid w:val="379E21B5"/>
    <w:multiLevelType w:val="hybridMultilevel"/>
    <w:lvl w:ilvl="0">
      <w:lvlJc w:val="left"/>
      <w:lvlText w:val="%1."/>
      <w:numFmt w:val="lowerRoman"/>
      <w:start w:val="3"/>
    </w:lvl>
    <w:lvl w:ilvl="1">
      <w:lvlJc w:val="left"/>
      <w:lvlText w:val="%2"/>
      <w:numFmt w:val="lowerRoman"/>
      <w:start w:val="1"/>
    </w:lvl>
  </w:abstractNum>
  <w:abstractNum w:abstractNumId="100">
    <w:nsid w:val="69E373"/>
    <w:multiLevelType w:val="hybridMultilevel"/>
    <w:lvl w:ilvl="0">
      <w:lvlJc w:val="left"/>
      <w:lvlText w:val="§"/>
      <w:numFmt w:val="bullet"/>
      <w:start w:val="1"/>
    </w:lvl>
  </w:abstractNum>
  <w:abstractNum w:abstractNumId="101">
    <w:nsid w:val="2C27173B"/>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8"/>
    </w:lvl>
  </w:abstractNum>
  <w:abstractNum w:abstractNumId="102">
    <w:nsid w:val="4C9B0904"/>
    <w:multiLevelType w:val="hybridMultilevel"/>
    <w:lvl w:ilvl="0">
      <w:lvlJc w:val="left"/>
      <w:lvlText w:val="%1"/>
      <w:numFmt w:val="lowerLetter"/>
      <w:start w:val="1"/>
    </w:lvl>
    <w:lvl w:ilvl="1">
      <w:lvlJc w:val="left"/>
      <w:lvlText w:val="%2."/>
      <w:numFmt w:val="lowerRoman"/>
      <w:start w:val="9"/>
    </w:lvl>
  </w:abstractNum>
  <w:abstractNum w:abstractNumId="103">
    <w:nsid w:val="6AA7B75C"/>
    <w:multiLevelType w:val="hybridMultilevel"/>
    <w:lvl w:ilvl="0">
      <w:lvlJc w:val="left"/>
      <w:lvlText w:val="(%1)"/>
      <w:numFmt w:val="lowerLetter"/>
      <w:start w:val="2"/>
    </w:lvl>
    <w:lvl w:ilvl="1">
      <w:lvlJc w:val="left"/>
      <w:lvlText w:val="%2"/>
      <w:numFmt w:val="lowerRoman"/>
      <w:start w:val="1"/>
    </w:lvl>
  </w:abstractNum>
  <w:abstractNum w:abstractNumId="104">
    <w:nsid w:val="1DF029D3"/>
    <w:multiLevelType w:val="hybridMultilevel"/>
    <w:lvl w:ilvl="0">
      <w:lvlJc w:val="left"/>
      <w:lvlText w:val="(%1)"/>
      <w:numFmt w:val="lowerLetter"/>
      <w:start w:val="3"/>
    </w:lvl>
  </w:abstractNum>
  <w:abstractNum w:abstractNumId="105">
    <w:nsid w:val="5675FF36"/>
    <w:multiLevelType w:val="hybridMultilevel"/>
    <w:lvl w:ilvl="0">
      <w:lvlJc w:val="left"/>
      <w:lvlText w:val="%1"/>
      <w:numFmt w:val="lowerLetter"/>
      <w:start w:val="1"/>
    </w:lvl>
    <w:lvl w:ilvl="1">
      <w:lvlJc w:val="left"/>
      <w:lvlText w:val="(%2)"/>
      <w:numFmt w:val="lowerLetter"/>
      <w:start w:val="4"/>
    </w:lvl>
  </w:abstractNum>
  <w:abstractNum w:abstractNumId="106">
    <w:nsid w:val="3DD15094"/>
    <w:multiLevelType w:val="hybridMultilevel"/>
    <w:lvl w:ilvl="0">
      <w:lvlJc w:val="left"/>
      <w:lvlText w:val="(%1)"/>
      <w:numFmt w:val="lowerLetter"/>
      <w:start w:val="5"/>
    </w:lvl>
    <w:lvl w:ilvl="1">
      <w:lvlJc w:val="left"/>
      <w:lvlText w:val="%2"/>
      <w:numFmt w:val="lowerLetter"/>
      <w:start w:val="1"/>
    </w:lvl>
  </w:abstractNum>
  <w:abstractNum w:abstractNumId="107">
    <w:nsid w:val="3DB012B3"/>
    <w:multiLevelType w:val="hybridMultilevel"/>
    <w:lvl w:ilvl="0">
      <w:lvlJc w:val="left"/>
      <w:lvlText w:val="%1."/>
      <w:numFmt w:val="decimal"/>
      <w:start w:val="6"/>
    </w:lvl>
    <w:lvl w:ilvl="1">
      <w:lvlJc w:val="left"/>
      <w:lvlText w:val="(%2)"/>
      <w:numFmt w:val="lowerLetter"/>
      <w:start w:val="1"/>
    </w:lvl>
  </w:abstractNum>
  <w:abstractNum w:abstractNumId="108">
    <w:nsid w:val="2708C9AF"/>
    <w:multiLevelType w:val="hybridMultilevel"/>
    <w:lvl w:ilvl="0">
      <w:lvlJc w:val="left"/>
      <w:lvlText w:val="%1."/>
      <w:numFmt w:val="decimal"/>
      <w:start w:val="8"/>
    </w:lvl>
    <w:lvl w:ilvl="1">
      <w:lvlJc w:val="left"/>
      <w:lvlText w:val="(%2)"/>
      <w:numFmt w:val="lowerLetter"/>
      <w:start w:val="1"/>
    </w:lvl>
  </w:abstractNum>
  <w:abstractNum w:abstractNumId="109">
    <w:nsid w:val="5B25ACE2"/>
    <w:multiLevelType w:val="hybridMultilevel"/>
    <w:lvl w:ilvl="0">
      <w:lvlJc w:val="left"/>
      <w:lvlText w:val="(%1)"/>
      <w:numFmt w:val="lowerLetter"/>
      <w:start w:val="3"/>
    </w:lvl>
  </w:abstractNum>
  <w:abstractNum w:abstractNumId="110">
    <w:nsid w:val="175DFCF0"/>
    <w:multiLevelType w:val="hybridMultilevel"/>
    <w:lvl w:ilvl="0">
      <w:lvlJc w:val="left"/>
      <w:lvlText w:val="%1."/>
      <w:numFmt w:val="decimal"/>
      <w:start w:val="10"/>
    </w:lvl>
  </w:abstractNum>
  <w:abstractNum w:abstractNumId="111">
    <w:nsid w:val="4F97E3E4"/>
    <w:multiLevelType w:val="hybridMultilevel"/>
    <w:lvl w:ilvl="0">
      <w:lvlJc w:val="left"/>
      <w:lvlText w:val="%1."/>
      <w:numFmt w:val="decimal"/>
      <w:start w:val="14"/>
    </w:lvl>
  </w:abstractNum>
  <w:abstractNum w:abstractNumId="112">
    <w:nsid w:val="53B0A9E"/>
    <w:multiLevelType w:val="hybridMultilevel"/>
    <w:lvl w:ilvl="0">
      <w:lvlJc w:val="left"/>
      <w:lvlText w:val="%1."/>
      <w:numFmt w:val="decimal"/>
      <w:start w:val="17"/>
    </w:lvl>
  </w:abstractNum>
  <w:abstractNum w:abstractNumId="113">
    <w:nsid w:val="34FD6B4F"/>
    <w:multiLevelType w:val="hybridMultilevel"/>
    <w:lvl w:ilvl="0">
      <w:lvlJc w:val="left"/>
      <w:lvlText w:val="%1."/>
      <w:numFmt w:val="decimal"/>
      <w:start w:val="19"/>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decimal"/>
      <w:start w:val="4"/>
    </w:lvl>
  </w:abstractNum>
  <w:abstractNum w:abstractNumId="117">
    <w:nsid w:val="2C6E4AFD"/>
    <w:multiLevelType w:val="hybridMultilevel"/>
    <w:lvl w:ilvl="0">
      <w:lvlJc w:val="left"/>
      <w:lvlText w:val="%1."/>
      <w:numFmt w:val="decimal"/>
      <w:start w:val="5"/>
    </w:lvl>
  </w:abstractNum>
  <w:abstractNum w:abstractNumId="118">
    <w:nsid w:val="17A1B582"/>
    <w:multiLevelType w:val="hybridMultilevel"/>
    <w:lvl w:ilvl="0">
      <w:lvlJc w:val="left"/>
      <w:lvlText w:val="%1"/>
      <w:numFmt w:val="lowerLetter"/>
      <w:start w:val="1"/>
    </w:lvl>
    <w:lvl w:ilvl="1">
      <w:lvlJc w:val="left"/>
      <w:lvlText w:val="(%2)"/>
      <w:numFmt w:val="lowerLetter"/>
      <w:start w:val="1"/>
    </w:lvl>
  </w:abstractNum>
  <w:abstractNum w:abstractNumId="119">
    <w:nsid w:val="4DF72E4E"/>
    <w:multiLevelType w:val="hybridMultilevel"/>
    <w:lvl w:ilvl="0">
      <w:lvlJc w:val="left"/>
      <w:lvlText w:val="(%1)"/>
      <w:numFmt w:val="lowerLetter"/>
      <w:start w:val="35"/>
    </w:lvl>
    <w:lvl w:ilvl="1">
      <w:lvlJc w:val="left"/>
      <w:lvlText w:val="(%2)"/>
      <w:numFmt w:val="lowerLetter"/>
      <w:start w:val="2"/>
    </w:lvl>
  </w:abstractNum>
  <w:abstractNum w:abstractNumId="120">
    <w:nsid w:val="5046B5A9"/>
    <w:multiLevelType w:val="hybridMultilevel"/>
    <w:lvl w:ilvl="0">
      <w:lvlJc w:val="left"/>
      <w:lvlText w:val="%1."/>
      <w:numFmt w:val="decimal"/>
      <w:start w:val="6"/>
    </w:lvl>
  </w:abstractNum>
  <w:abstractNum w:abstractNumId="121">
    <w:nsid w:val="5D888A08"/>
    <w:multiLevelType w:val="hybridMultilevel"/>
    <w:lvl w:ilvl="0">
      <w:lvlJc w:val="left"/>
      <w:lvlText w:val="%1."/>
      <w:numFmt w:val="decimal"/>
      <w:start w:val="7"/>
    </w:lvl>
  </w:abstractNum>
  <w:abstractNum w:abstractNumId="122">
    <w:nsid w:val="2A082C70"/>
    <w:multiLevelType w:val="hybridMultilevel"/>
    <w:lvl w:ilvl="0">
      <w:lvlJc w:val="left"/>
      <w:lvlText w:val="%1."/>
      <w:numFmt w:val="lowerLetter"/>
      <w:start w:val="2"/>
    </w:lvl>
  </w:abstractNum>
  <w:abstractNum w:abstractNumId="123">
    <w:nsid w:val="5EC6AFD4"/>
    <w:multiLevelType w:val="hybridMultilevel"/>
    <w:lvl w:ilvl="0">
      <w:lvlJc w:val="left"/>
      <w:lvlText w:val="%1."/>
      <w:numFmt w:val="lowerLetter"/>
      <w:start w:val="3"/>
    </w:lvl>
  </w:abstractNum>
  <w:abstractNum w:abstractNumId="124">
    <w:nsid w:val="19E21BB2"/>
    <w:multiLevelType w:val="hybridMultilevel"/>
    <w:lvl w:ilvl="0">
      <w:lvlJc w:val="left"/>
      <w:lvlText w:val="%1"/>
      <w:numFmt w:val="decimal"/>
      <w:start w:val="1"/>
    </w:lvl>
    <w:lvl w:ilvl="1">
      <w:lvlJc w:val="left"/>
      <w:lvlText w:val="%2."/>
      <w:numFmt w:val="lowerLetter"/>
      <w:start w:val="4"/>
    </w:lvl>
  </w:abstractNum>
  <w:abstractNum w:abstractNumId="125">
    <w:nsid w:val="75E0858A"/>
    <w:multiLevelType w:val="hybridMultilevel"/>
    <w:lvl w:ilvl="0">
      <w:lvlJc w:val="left"/>
      <w:lvlText w:val="%1."/>
      <w:numFmt w:val="decimal"/>
      <w:start w:val="9"/>
    </w:lvl>
    <w:lvl w:ilvl="1">
      <w:lvlJc w:val="left"/>
      <w:lvlText w:val="%2."/>
      <w:numFmt w:val="lowerLetter"/>
      <w:start w:val="1"/>
    </w:lvl>
  </w:abstractNum>
  <w:abstractNum w:abstractNumId="126">
    <w:nsid w:val="57A61A29"/>
    <w:multiLevelType w:val="hybridMultilevel"/>
    <w:lvl w:ilvl="0">
      <w:lvlJc w:val="left"/>
      <w:lvlText w:val="%1."/>
      <w:numFmt w:val="decimal"/>
      <w:start w:val="11"/>
    </w:lvl>
  </w:abstractNum>
  <w:abstractNum w:abstractNumId="127">
    <w:nsid w:val="5399C654"/>
    <w:multiLevelType w:val="hybridMultilevel"/>
    <w:lvl w:ilvl="0">
      <w:lvlJc w:val="left"/>
      <w:lvlText w:val="%1."/>
      <w:numFmt w:val="decimal"/>
      <w:start w:val="1"/>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1."/>
      <w:numFmt w:val="decimal"/>
      <w:start w:val="5"/>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decimal"/>
      <w:start w:val="1"/>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1."/>
      <w:numFmt w:val="decimal"/>
      <w:start w:val="5"/>
    </w:lvl>
  </w:abstractNum>
  <w:abstractNum w:abstractNumId="134">
    <w:nsid w:val="BFFAE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47" Type="http://schemas.openxmlformats.org/officeDocument/2006/relationships/image" Target="media/image177.png"/><Relationship Id="rId248"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3" Type="http://schemas.openxmlformats.org/officeDocument/2006/relationships/image" Target="media/image181.png"/><Relationship Id="rId254" Type="http://schemas.openxmlformats.org/officeDocument/2006/relationships/image" Target="media/image182.png"/><Relationship Id="rId256" Type="http://schemas.openxmlformats.org/officeDocument/2006/relationships/image" Target="media/image183.png"/><Relationship Id="rId257" Type="http://schemas.openxmlformats.org/officeDocument/2006/relationships/image" Target="media/image184.png"/><Relationship Id="rId259" Type="http://schemas.openxmlformats.org/officeDocument/2006/relationships/image" Target="media/image185.png"/><Relationship Id="rId260" Type="http://schemas.openxmlformats.org/officeDocument/2006/relationships/image" Target="media/image186.png"/><Relationship Id="rId261" Type="http://schemas.openxmlformats.org/officeDocument/2006/relationships/image" Target="media/image187.png"/><Relationship Id="rId262" Type="http://schemas.openxmlformats.org/officeDocument/2006/relationships/image" Target="media/image188.png"/><Relationship Id="rId264" Type="http://schemas.openxmlformats.org/officeDocument/2006/relationships/image" Target="media/image189.png"/><Relationship Id="rId265" Type="http://schemas.openxmlformats.org/officeDocument/2006/relationships/image" Target="media/image190.png"/><Relationship Id="rId266" Type="http://schemas.openxmlformats.org/officeDocument/2006/relationships/image" Target="media/image191.png"/><Relationship Id="rId267" Type="http://schemas.openxmlformats.org/officeDocument/2006/relationships/image" Target="media/image192.png"/><Relationship Id="rId269" Type="http://schemas.openxmlformats.org/officeDocument/2006/relationships/image" Target="media/image193.png"/><Relationship Id="rId270" Type="http://schemas.openxmlformats.org/officeDocument/2006/relationships/image" Target="media/image194.png"/><Relationship Id="rId271" Type="http://schemas.openxmlformats.org/officeDocument/2006/relationships/image" Target="media/image195.png"/><Relationship Id="rId272"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9" Type="http://schemas.openxmlformats.org/officeDocument/2006/relationships/image" Target="media/image201.png"/><Relationship Id="rId280" Type="http://schemas.openxmlformats.org/officeDocument/2006/relationships/image" Target="media/image202.png"/><Relationship Id="rId281" Type="http://schemas.openxmlformats.org/officeDocument/2006/relationships/image" Target="media/image203.png"/><Relationship Id="rId282" Type="http://schemas.openxmlformats.org/officeDocument/2006/relationships/image" Target="media/image204.png"/><Relationship Id="rId283" Type="http://schemas.openxmlformats.org/officeDocument/2006/relationships/image" Target="media/image205.png"/><Relationship Id="rId284" Type="http://schemas.openxmlformats.org/officeDocument/2006/relationships/image" Target="media/image206.png"/><Relationship Id="rId285" Type="http://schemas.openxmlformats.org/officeDocument/2006/relationships/image" Target="media/image207.png"/><Relationship Id="rId286" Type="http://schemas.openxmlformats.org/officeDocument/2006/relationships/image" Target="media/image208.png"/><Relationship Id="rId287" Type="http://schemas.openxmlformats.org/officeDocument/2006/relationships/image" Target="media/image209.png"/><Relationship Id="rId288" Type="http://schemas.openxmlformats.org/officeDocument/2006/relationships/image" Target="media/image210.png"/><Relationship Id="rId289" Type="http://schemas.openxmlformats.org/officeDocument/2006/relationships/image" Target="media/image211.png"/><Relationship Id="rId290" Type="http://schemas.openxmlformats.org/officeDocument/2006/relationships/image" Target="media/image212.png"/><Relationship Id="rId291" Type="http://schemas.openxmlformats.org/officeDocument/2006/relationships/image" Target="media/image213.png"/><Relationship Id="rId292" Type="http://schemas.openxmlformats.org/officeDocument/2006/relationships/image" Target="media/image214.png"/><Relationship Id="rId293" Type="http://schemas.openxmlformats.org/officeDocument/2006/relationships/image" Target="media/image215.png"/><Relationship Id="rId294" Type="http://schemas.openxmlformats.org/officeDocument/2006/relationships/image" Target="media/image216.png"/><Relationship Id="rId295" Type="http://schemas.openxmlformats.org/officeDocument/2006/relationships/image" Target="media/image217.png"/><Relationship Id="rId296" Type="http://schemas.openxmlformats.org/officeDocument/2006/relationships/image" Target="media/image218.png"/><Relationship Id="rId297" Type="http://schemas.openxmlformats.org/officeDocument/2006/relationships/image" Target="media/image219.png"/><Relationship Id="rId298" Type="http://schemas.openxmlformats.org/officeDocument/2006/relationships/image" Target="media/image220.png"/><Relationship Id="rId299" Type="http://schemas.openxmlformats.org/officeDocument/2006/relationships/image" Target="media/image221.png"/><Relationship Id="rId300" Type="http://schemas.openxmlformats.org/officeDocument/2006/relationships/image" Target="media/image222.png"/><Relationship Id="rId301" Type="http://schemas.openxmlformats.org/officeDocument/2006/relationships/image" Target="media/image223.png"/><Relationship Id="rId302" Type="http://schemas.openxmlformats.org/officeDocument/2006/relationships/image" Target="media/image224.png"/><Relationship Id="rId303" Type="http://schemas.openxmlformats.org/officeDocument/2006/relationships/image" Target="media/image225.png"/><Relationship Id="rId304" Type="http://schemas.openxmlformats.org/officeDocument/2006/relationships/image" Target="media/image226.png"/><Relationship Id="rId305" Type="http://schemas.openxmlformats.org/officeDocument/2006/relationships/image" Target="media/image227.png"/><Relationship Id="rId306" Type="http://schemas.openxmlformats.org/officeDocument/2006/relationships/image" Target="media/image228.png"/><Relationship Id="rId307" Type="http://schemas.openxmlformats.org/officeDocument/2006/relationships/image" Target="media/image229.png"/><Relationship Id="rId308" Type="http://schemas.openxmlformats.org/officeDocument/2006/relationships/image" Target="media/image230.png"/><Relationship Id="rId309" Type="http://schemas.openxmlformats.org/officeDocument/2006/relationships/image" Target="media/image231.png"/><Relationship Id="rId310" Type="http://schemas.openxmlformats.org/officeDocument/2006/relationships/image" Target="media/image232.png"/><Relationship Id="rId311" Type="http://schemas.openxmlformats.org/officeDocument/2006/relationships/image" Target="media/image233.png"/><Relationship Id="rId312" Type="http://schemas.openxmlformats.org/officeDocument/2006/relationships/image" Target="media/image234.png"/><Relationship Id="rId313" Type="http://schemas.openxmlformats.org/officeDocument/2006/relationships/image" Target="media/image235.png"/><Relationship Id="rId314" Type="http://schemas.openxmlformats.org/officeDocument/2006/relationships/image" Target="media/image236.png"/><Relationship Id="rId315" Type="http://schemas.openxmlformats.org/officeDocument/2006/relationships/image" Target="media/image237.png"/><Relationship Id="rId316" Type="http://schemas.openxmlformats.org/officeDocument/2006/relationships/image" Target="media/image238.png"/><Relationship Id="rId317" Type="http://schemas.openxmlformats.org/officeDocument/2006/relationships/image" Target="media/image239.png"/><Relationship Id="rId318" Type="http://schemas.openxmlformats.org/officeDocument/2006/relationships/image" Target="media/image240.png"/><Relationship Id="rId319" Type="http://schemas.openxmlformats.org/officeDocument/2006/relationships/image" Target="media/image241.png"/><Relationship Id="rId320" Type="http://schemas.openxmlformats.org/officeDocument/2006/relationships/image" Target="media/image242.png"/><Relationship Id="rId321" Type="http://schemas.openxmlformats.org/officeDocument/2006/relationships/image" Target="media/image243.png"/><Relationship Id="rId322" Type="http://schemas.openxmlformats.org/officeDocument/2006/relationships/image" Target="media/image244.png"/><Relationship Id="rId323" Type="http://schemas.openxmlformats.org/officeDocument/2006/relationships/image" Target="media/image245.png"/><Relationship Id="rId324" Type="http://schemas.openxmlformats.org/officeDocument/2006/relationships/image" Target="media/image246.png"/><Relationship Id="rId325" Type="http://schemas.openxmlformats.org/officeDocument/2006/relationships/image" Target="media/image247.png"/><Relationship Id="rId326" Type="http://schemas.openxmlformats.org/officeDocument/2006/relationships/image" Target="media/image248.png"/><Relationship Id="rId327" Type="http://schemas.openxmlformats.org/officeDocument/2006/relationships/image" Target="media/image249.png"/><Relationship Id="rId328" Type="http://schemas.openxmlformats.org/officeDocument/2006/relationships/image" Target="media/image250.png"/><Relationship Id="rId329" Type="http://schemas.openxmlformats.org/officeDocument/2006/relationships/image" Target="media/image251.png"/><Relationship Id="rId330" Type="http://schemas.openxmlformats.org/officeDocument/2006/relationships/image" Target="media/image252.png"/><Relationship Id="rId331" Type="http://schemas.openxmlformats.org/officeDocument/2006/relationships/image" Target="media/image253.png"/><Relationship Id="rId332" Type="http://schemas.openxmlformats.org/officeDocument/2006/relationships/image" Target="media/image254.png"/><Relationship Id="rId333" Type="http://schemas.openxmlformats.org/officeDocument/2006/relationships/image" Target="media/image255.png"/><Relationship Id="rId334" Type="http://schemas.openxmlformats.org/officeDocument/2006/relationships/image" Target="media/image256.png"/><Relationship Id="rId335" Type="http://schemas.openxmlformats.org/officeDocument/2006/relationships/image" Target="media/image257.png"/><Relationship Id="rId336" Type="http://schemas.openxmlformats.org/officeDocument/2006/relationships/image" Target="media/image258.png"/><Relationship Id="rId337" Type="http://schemas.openxmlformats.org/officeDocument/2006/relationships/image" Target="media/image259.png"/><Relationship Id="rId338" Type="http://schemas.openxmlformats.org/officeDocument/2006/relationships/image" Target="media/image260.png"/><Relationship Id="rId339" Type="http://schemas.openxmlformats.org/officeDocument/2006/relationships/image" Target="media/image261.png"/><Relationship Id="rId340" Type="http://schemas.openxmlformats.org/officeDocument/2006/relationships/image" Target="media/image262.png"/><Relationship Id="rId341" Type="http://schemas.openxmlformats.org/officeDocument/2006/relationships/image" Target="media/image263.png"/><Relationship Id="rId342" Type="http://schemas.openxmlformats.org/officeDocument/2006/relationships/image" Target="media/image264.png"/><Relationship Id="rId343" Type="http://schemas.openxmlformats.org/officeDocument/2006/relationships/image" Target="media/image265.png"/><Relationship Id="rId344" Type="http://schemas.openxmlformats.org/officeDocument/2006/relationships/image" Target="media/image266.png"/><Relationship Id="rId345" Type="http://schemas.openxmlformats.org/officeDocument/2006/relationships/image" Target="media/image267.png"/><Relationship Id="rId346" Type="http://schemas.openxmlformats.org/officeDocument/2006/relationships/image" Target="media/image268.png"/><Relationship Id="rId347" Type="http://schemas.openxmlformats.org/officeDocument/2006/relationships/image" Target="media/image269.png"/><Relationship Id="rId348" Type="http://schemas.openxmlformats.org/officeDocument/2006/relationships/image" Target="media/image270.png"/><Relationship Id="rId349" Type="http://schemas.openxmlformats.org/officeDocument/2006/relationships/image" Target="media/image271.png"/><Relationship Id="rId350" Type="http://schemas.openxmlformats.org/officeDocument/2006/relationships/image" Target="media/image272.png"/><Relationship Id="rId351" Type="http://schemas.openxmlformats.org/officeDocument/2006/relationships/image" Target="media/image273.png"/><Relationship Id="rId352" Type="http://schemas.openxmlformats.org/officeDocument/2006/relationships/image" Target="media/image274.png"/><Relationship Id="rId353" Type="http://schemas.openxmlformats.org/officeDocument/2006/relationships/image" Target="media/image275.png"/><Relationship Id="rId354" Type="http://schemas.openxmlformats.org/officeDocument/2006/relationships/image" Target="media/image276.png"/><Relationship Id="rId355" Type="http://schemas.openxmlformats.org/officeDocument/2006/relationships/image" Target="media/image277.png"/><Relationship Id="rId356" Type="http://schemas.openxmlformats.org/officeDocument/2006/relationships/image" Target="media/image278.png"/><Relationship Id="rId357" Type="http://schemas.openxmlformats.org/officeDocument/2006/relationships/image" Target="media/image279.png"/><Relationship Id="rId358" Type="http://schemas.openxmlformats.org/officeDocument/2006/relationships/image" Target="media/image280.png"/><Relationship Id="rId359" Type="http://schemas.openxmlformats.org/officeDocument/2006/relationships/image" Target="media/image281.png"/><Relationship Id="rId360" Type="http://schemas.openxmlformats.org/officeDocument/2006/relationships/image" Target="media/image282.png"/><Relationship Id="rId361" Type="http://schemas.openxmlformats.org/officeDocument/2006/relationships/image" Target="media/image283.png"/><Relationship Id="rId362" Type="http://schemas.openxmlformats.org/officeDocument/2006/relationships/image" Target="media/image284.png"/><Relationship Id="rId363" Type="http://schemas.openxmlformats.org/officeDocument/2006/relationships/image" Target="media/image285.png"/><Relationship Id="rId364" Type="http://schemas.openxmlformats.org/officeDocument/2006/relationships/image" Target="media/image286.png"/><Relationship Id="rId365" Type="http://schemas.openxmlformats.org/officeDocument/2006/relationships/image" Target="media/image287.png"/><Relationship Id="rId366" Type="http://schemas.openxmlformats.org/officeDocument/2006/relationships/image" Target="media/image288.png"/><Relationship Id="rId367" Type="http://schemas.openxmlformats.org/officeDocument/2006/relationships/image" Target="media/image289.png"/><Relationship Id="rId368" Type="http://schemas.openxmlformats.org/officeDocument/2006/relationships/image" Target="media/image290.png"/><Relationship Id="rId369" Type="http://schemas.openxmlformats.org/officeDocument/2006/relationships/image" Target="media/image291.png"/><Relationship Id="rId370" Type="http://schemas.openxmlformats.org/officeDocument/2006/relationships/image" Target="media/image292.png"/><Relationship Id="rId371" Type="http://schemas.openxmlformats.org/officeDocument/2006/relationships/image" Target="media/image293.png"/><Relationship Id="rId372" Type="http://schemas.openxmlformats.org/officeDocument/2006/relationships/image" Target="media/image294.png"/><Relationship Id="rId373" Type="http://schemas.openxmlformats.org/officeDocument/2006/relationships/image" Target="media/image295.png"/><Relationship Id="rId374" Type="http://schemas.openxmlformats.org/officeDocument/2006/relationships/image" Target="media/image296.png"/><Relationship Id="rId375" Type="http://schemas.openxmlformats.org/officeDocument/2006/relationships/image" Target="media/image297.png"/><Relationship Id="rId376" Type="http://schemas.openxmlformats.org/officeDocument/2006/relationships/image" Target="media/image298.png"/><Relationship Id="rId377" Type="http://schemas.openxmlformats.org/officeDocument/2006/relationships/image" Target="media/image299.png"/><Relationship Id="rId378" Type="http://schemas.openxmlformats.org/officeDocument/2006/relationships/image" Target="media/image300.png"/><Relationship Id="rId379" Type="http://schemas.openxmlformats.org/officeDocument/2006/relationships/image" Target="media/image301.png"/><Relationship Id="rId380" Type="http://schemas.openxmlformats.org/officeDocument/2006/relationships/image" Target="media/image302.png"/><Relationship Id="rId381" Type="http://schemas.openxmlformats.org/officeDocument/2006/relationships/image" Target="media/image303.png"/><Relationship Id="rId382" Type="http://schemas.openxmlformats.org/officeDocument/2006/relationships/image" Target="media/image304.png"/><Relationship Id="rId383" Type="http://schemas.openxmlformats.org/officeDocument/2006/relationships/image" Target="media/image305.png"/><Relationship Id="rId384" Type="http://schemas.openxmlformats.org/officeDocument/2006/relationships/image" Target="media/image306.png"/><Relationship Id="rId385" Type="http://schemas.openxmlformats.org/officeDocument/2006/relationships/image" Target="media/image307.png"/><Relationship Id="rId386" Type="http://schemas.openxmlformats.org/officeDocument/2006/relationships/image" Target="media/image308.png"/><Relationship Id="rId387" Type="http://schemas.openxmlformats.org/officeDocument/2006/relationships/image" Target="media/image309.png"/><Relationship Id="rId388" Type="http://schemas.openxmlformats.org/officeDocument/2006/relationships/image" Target="media/image310.png"/><Relationship Id="rId389" Type="http://schemas.openxmlformats.org/officeDocument/2006/relationships/image" Target="media/image311.png"/><Relationship Id="rId390" Type="http://schemas.openxmlformats.org/officeDocument/2006/relationships/image" Target="media/image312.png"/><Relationship Id="rId391" Type="http://schemas.openxmlformats.org/officeDocument/2006/relationships/image" Target="media/image313.png"/><Relationship Id="rId392" Type="http://schemas.openxmlformats.org/officeDocument/2006/relationships/image" Target="media/image314.png"/><Relationship Id="rId393" Type="http://schemas.openxmlformats.org/officeDocument/2006/relationships/image" Target="media/image315.png"/><Relationship Id="rId394" Type="http://schemas.openxmlformats.org/officeDocument/2006/relationships/image" Target="media/image316.png"/><Relationship Id="rId395" Type="http://schemas.openxmlformats.org/officeDocument/2006/relationships/image" Target="media/image317.png"/><Relationship Id="rId396" Type="http://schemas.openxmlformats.org/officeDocument/2006/relationships/image" Target="media/image318.png"/><Relationship Id="rId397" Type="http://schemas.openxmlformats.org/officeDocument/2006/relationships/image" Target="media/image319.png"/><Relationship Id="rId398" Type="http://schemas.openxmlformats.org/officeDocument/2006/relationships/image" Target="media/image320.png"/><Relationship Id="rId399" Type="http://schemas.openxmlformats.org/officeDocument/2006/relationships/image" Target="media/image321.png"/><Relationship Id="rId400" Type="http://schemas.openxmlformats.org/officeDocument/2006/relationships/image" Target="media/image322.png"/><Relationship Id="rId401" Type="http://schemas.openxmlformats.org/officeDocument/2006/relationships/image" Target="media/image323.png"/><Relationship Id="rId402" Type="http://schemas.openxmlformats.org/officeDocument/2006/relationships/image" Target="media/image324.png"/><Relationship Id="rId403" Type="http://schemas.openxmlformats.org/officeDocument/2006/relationships/image" Target="media/image325.png"/><Relationship Id="rId404" Type="http://schemas.openxmlformats.org/officeDocument/2006/relationships/image" Target="media/image326.png"/><Relationship Id="rId405" Type="http://schemas.openxmlformats.org/officeDocument/2006/relationships/image" Target="media/image327.png"/><Relationship Id="rId406" Type="http://schemas.openxmlformats.org/officeDocument/2006/relationships/image" Target="media/image328.png"/><Relationship Id="rId407" Type="http://schemas.openxmlformats.org/officeDocument/2006/relationships/image" Target="media/image329.png"/><Relationship Id="rId408" Type="http://schemas.openxmlformats.org/officeDocument/2006/relationships/image" Target="media/image330.png"/><Relationship Id="rId409" Type="http://schemas.openxmlformats.org/officeDocument/2006/relationships/image" Target="media/image331.png"/><Relationship Id="rId410" Type="http://schemas.openxmlformats.org/officeDocument/2006/relationships/image" Target="media/image332.png"/><Relationship Id="rId411" Type="http://schemas.openxmlformats.org/officeDocument/2006/relationships/image" Target="media/image333.png"/><Relationship Id="rId412" Type="http://schemas.openxmlformats.org/officeDocument/2006/relationships/image" Target="media/image334.png"/><Relationship Id="rId413" Type="http://schemas.openxmlformats.org/officeDocument/2006/relationships/image" Target="media/image335.png"/><Relationship Id="rId414" Type="http://schemas.openxmlformats.org/officeDocument/2006/relationships/image" Target="media/image336.png"/><Relationship Id="rId415" Type="http://schemas.openxmlformats.org/officeDocument/2006/relationships/image" Target="media/image337.png"/><Relationship Id="rId416" Type="http://schemas.openxmlformats.org/officeDocument/2006/relationships/image" Target="media/image338.png"/><Relationship Id="rId417" Type="http://schemas.openxmlformats.org/officeDocument/2006/relationships/image" Target="media/image339.png"/><Relationship Id="rId418" Type="http://schemas.openxmlformats.org/officeDocument/2006/relationships/image" Target="media/image340.png"/><Relationship Id="rId419" Type="http://schemas.openxmlformats.org/officeDocument/2006/relationships/image" Target="media/image341.png"/><Relationship Id="rId420" Type="http://schemas.openxmlformats.org/officeDocument/2006/relationships/image" Target="media/image342.png"/><Relationship Id="rId421" Type="http://schemas.openxmlformats.org/officeDocument/2006/relationships/image" Target="media/image343.png"/><Relationship Id="rId422" Type="http://schemas.openxmlformats.org/officeDocument/2006/relationships/image" Target="media/image344.png"/><Relationship Id="rId423" Type="http://schemas.openxmlformats.org/officeDocument/2006/relationships/image" Target="media/image345.png"/><Relationship Id="rId424" Type="http://schemas.openxmlformats.org/officeDocument/2006/relationships/image" Target="media/image346.png"/><Relationship Id="rId425" Type="http://schemas.openxmlformats.org/officeDocument/2006/relationships/image" Target="media/image347.png"/><Relationship Id="rId426" Type="http://schemas.openxmlformats.org/officeDocument/2006/relationships/image" Target="media/image348.png"/><Relationship Id="rId427" Type="http://schemas.openxmlformats.org/officeDocument/2006/relationships/image" Target="media/image349.png"/><Relationship Id="rId428" Type="http://schemas.openxmlformats.org/officeDocument/2006/relationships/image" Target="media/image350.png"/><Relationship Id="rId429" Type="http://schemas.openxmlformats.org/officeDocument/2006/relationships/image" Target="media/image351.png"/><Relationship Id="rId430" Type="http://schemas.openxmlformats.org/officeDocument/2006/relationships/image" Target="media/image352.png"/><Relationship Id="rId431" Type="http://schemas.openxmlformats.org/officeDocument/2006/relationships/image" Target="media/image353.png"/><Relationship Id="rId432" Type="http://schemas.openxmlformats.org/officeDocument/2006/relationships/image" Target="media/image354.png"/><Relationship Id="rId433" Type="http://schemas.openxmlformats.org/officeDocument/2006/relationships/image" Target="media/image355.png"/><Relationship Id="rId434" Type="http://schemas.openxmlformats.org/officeDocument/2006/relationships/image" Target="media/image356.png"/><Relationship Id="rId435" Type="http://schemas.openxmlformats.org/officeDocument/2006/relationships/image" Target="media/image357.png"/><Relationship Id="rId436" Type="http://schemas.openxmlformats.org/officeDocument/2006/relationships/image" Target="media/image358.png"/><Relationship Id="rId437" Type="http://schemas.openxmlformats.org/officeDocument/2006/relationships/image" Target="media/image359.png"/><Relationship Id="rId438" Type="http://schemas.openxmlformats.org/officeDocument/2006/relationships/image" Target="media/image360.png"/><Relationship Id="rId439" Type="http://schemas.openxmlformats.org/officeDocument/2006/relationships/image" Target="media/image361.png"/><Relationship Id="rId440" Type="http://schemas.openxmlformats.org/officeDocument/2006/relationships/image" Target="media/image362.png"/><Relationship Id="rId441" Type="http://schemas.openxmlformats.org/officeDocument/2006/relationships/image" Target="media/image363.png"/><Relationship Id="rId442" Type="http://schemas.openxmlformats.org/officeDocument/2006/relationships/image" Target="media/image364.png"/><Relationship Id="rId443" Type="http://schemas.openxmlformats.org/officeDocument/2006/relationships/image" Target="media/image365.png"/><Relationship Id="rId444" Type="http://schemas.openxmlformats.org/officeDocument/2006/relationships/image" Target="media/image366.png"/><Relationship Id="rId445" Type="http://schemas.openxmlformats.org/officeDocument/2006/relationships/image" Target="media/image367.png"/><Relationship Id="rId446" Type="http://schemas.openxmlformats.org/officeDocument/2006/relationships/image" Target="media/image368.png"/><Relationship Id="rId447" Type="http://schemas.openxmlformats.org/officeDocument/2006/relationships/image" Target="media/image369.png"/><Relationship Id="rId448" Type="http://schemas.openxmlformats.org/officeDocument/2006/relationships/image" Target="media/image370.png"/><Relationship Id="rId449" Type="http://schemas.openxmlformats.org/officeDocument/2006/relationships/image" Target="media/image371.png"/><Relationship Id="rId450" Type="http://schemas.openxmlformats.org/officeDocument/2006/relationships/image" Target="media/image372.png"/><Relationship Id="rId451" Type="http://schemas.openxmlformats.org/officeDocument/2006/relationships/image" Target="media/image373.png"/><Relationship Id="rId452" Type="http://schemas.openxmlformats.org/officeDocument/2006/relationships/image" Target="media/image374.png"/><Relationship Id="rId453" Type="http://schemas.openxmlformats.org/officeDocument/2006/relationships/image" Target="media/image375.png"/><Relationship Id="rId454" Type="http://schemas.openxmlformats.org/officeDocument/2006/relationships/image" Target="media/image376.png"/><Relationship Id="rId455" Type="http://schemas.openxmlformats.org/officeDocument/2006/relationships/image" Target="media/image377.png"/><Relationship Id="rId456" Type="http://schemas.openxmlformats.org/officeDocument/2006/relationships/image" Target="media/image378.png"/><Relationship Id="rId457" Type="http://schemas.openxmlformats.org/officeDocument/2006/relationships/image" Target="media/image379.png"/><Relationship Id="rId458" Type="http://schemas.openxmlformats.org/officeDocument/2006/relationships/image" Target="media/image380.png"/><Relationship Id="rId459" Type="http://schemas.openxmlformats.org/officeDocument/2006/relationships/image" Target="media/image381.png"/><Relationship Id="rId460" Type="http://schemas.openxmlformats.org/officeDocument/2006/relationships/image" Target="media/image382.png"/><Relationship Id="rId461" Type="http://schemas.openxmlformats.org/officeDocument/2006/relationships/image" Target="media/image383.png"/><Relationship Id="rId462" Type="http://schemas.openxmlformats.org/officeDocument/2006/relationships/image" Target="media/image384.png"/><Relationship Id="rId463" Type="http://schemas.openxmlformats.org/officeDocument/2006/relationships/image" Target="media/image385.png"/><Relationship Id="rId464" Type="http://schemas.openxmlformats.org/officeDocument/2006/relationships/image" Target="media/image386.png"/><Relationship Id="rId465" Type="http://schemas.openxmlformats.org/officeDocument/2006/relationships/image" Target="media/image387.png"/><Relationship Id="rId466" Type="http://schemas.openxmlformats.org/officeDocument/2006/relationships/image" Target="media/image388.png"/><Relationship Id="rId467" Type="http://schemas.openxmlformats.org/officeDocument/2006/relationships/image" Target="media/image389.png"/><Relationship Id="rId468" Type="http://schemas.openxmlformats.org/officeDocument/2006/relationships/image" Target="media/image390.png"/><Relationship Id="rId469" Type="http://schemas.openxmlformats.org/officeDocument/2006/relationships/image" Target="media/image391.png"/><Relationship Id="rId470" Type="http://schemas.openxmlformats.org/officeDocument/2006/relationships/image" Target="media/image392.png"/><Relationship Id="rId471" Type="http://schemas.openxmlformats.org/officeDocument/2006/relationships/image" Target="media/image393.png"/><Relationship Id="rId472" Type="http://schemas.openxmlformats.org/officeDocument/2006/relationships/image" Target="media/image394.png"/><Relationship Id="rId473" Type="http://schemas.openxmlformats.org/officeDocument/2006/relationships/image" Target="media/image395.png"/><Relationship Id="rId474" Type="http://schemas.openxmlformats.org/officeDocument/2006/relationships/image" Target="media/image396.png"/><Relationship Id="rId475" Type="http://schemas.openxmlformats.org/officeDocument/2006/relationships/image" Target="media/image397.png"/><Relationship Id="rId476" Type="http://schemas.openxmlformats.org/officeDocument/2006/relationships/image" Target="media/image398.png"/><Relationship Id="rId477" Type="http://schemas.openxmlformats.org/officeDocument/2006/relationships/image" Target="media/image399.png"/><Relationship Id="rId478" Type="http://schemas.openxmlformats.org/officeDocument/2006/relationships/image" Target="media/image400.png"/><Relationship Id="rId479" Type="http://schemas.openxmlformats.org/officeDocument/2006/relationships/image" Target="media/image401.png"/><Relationship Id="rId480" Type="http://schemas.openxmlformats.org/officeDocument/2006/relationships/image" Target="media/image402.png"/><Relationship Id="rId481" Type="http://schemas.openxmlformats.org/officeDocument/2006/relationships/image" Target="media/image403.png"/><Relationship Id="rId482" Type="http://schemas.openxmlformats.org/officeDocument/2006/relationships/image" Target="media/image404.png"/><Relationship Id="rId483" Type="http://schemas.openxmlformats.org/officeDocument/2006/relationships/image" Target="media/image405.png"/><Relationship Id="rId484" Type="http://schemas.openxmlformats.org/officeDocument/2006/relationships/image" Target="media/image406.png"/><Relationship Id="rId485" Type="http://schemas.openxmlformats.org/officeDocument/2006/relationships/image" Target="media/image407.png"/><Relationship Id="rId486" Type="http://schemas.openxmlformats.org/officeDocument/2006/relationships/image" Target="media/image408.png"/><Relationship Id="rId487" Type="http://schemas.openxmlformats.org/officeDocument/2006/relationships/image" Target="media/image409.png"/><Relationship Id="rId488" Type="http://schemas.openxmlformats.org/officeDocument/2006/relationships/image" Target="media/image410.png"/><Relationship Id="rId489" Type="http://schemas.openxmlformats.org/officeDocument/2006/relationships/image" Target="media/image411.png"/><Relationship Id="rId490" Type="http://schemas.openxmlformats.org/officeDocument/2006/relationships/image" Target="media/image412.png"/><Relationship Id="rId491" Type="http://schemas.openxmlformats.org/officeDocument/2006/relationships/image" Target="media/image413.png"/><Relationship Id="rId492" Type="http://schemas.openxmlformats.org/officeDocument/2006/relationships/image" Target="media/image414.png"/><Relationship Id="rId493" Type="http://schemas.openxmlformats.org/officeDocument/2006/relationships/image" Target="media/image415.png"/><Relationship Id="rId494" Type="http://schemas.openxmlformats.org/officeDocument/2006/relationships/image" Target="media/image416.png"/><Relationship Id="rId495" Type="http://schemas.openxmlformats.org/officeDocument/2006/relationships/image" Target="media/image417.png"/><Relationship Id="rId496" Type="http://schemas.openxmlformats.org/officeDocument/2006/relationships/image" Target="media/image418.png"/><Relationship Id="rId497" Type="http://schemas.openxmlformats.org/officeDocument/2006/relationships/image" Target="media/image419.png"/><Relationship Id="rId498" Type="http://schemas.openxmlformats.org/officeDocument/2006/relationships/image" Target="media/image420.png"/><Relationship Id="rId499" Type="http://schemas.openxmlformats.org/officeDocument/2006/relationships/image" Target="media/image421.png"/><Relationship Id="rId500" Type="http://schemas.openxmlformats.org/officeDocument/2006/relationships/image" Target="media/image422.png"/><Relationship Id="rId501" Type="http://schemas.openxmlformats.org/officeDocument/2006/relationships/image" Target="media/image423.png"/><Relationship Id="rId502" Type="http://schemas.openxmlformats.org/officeDocument/2006/relationships/image" Target="media/image424.png"/><Relationship Id="rId503" Type="http://schemas.openxmlformats.org/officeDocument/2006/relationships/image" Target="media/image425.png"/><Relationship Id="rId504" Type="http://schemas.openxmlformats.org/officeDocument/2006/relationships/image" Target="media/image426.png"/><Relationship Id="rId505" Type="http://schemas.openxmlformats.org/officeDocument/2006/relationships/image" Target="media/image427.png"/><Relationship Id="rId506" Type="http://schemas.openxmlformats.org/officeDocument/2006/relationships/image" Target="media/image428.png"/><Relationship Id="rId507" Type="http://schemas.openxmlformats.org/officeDocument/2006/relationships/image" Target="media/image429.png"/><Relationship Id="rId508" Type="http://schemas.openxmlformats.org/officeDocument/2006/relationships/image" Target="media/image430.png"/><Relationship Id="rId509" Type="http://schemas.openxmlformats.org/officeDocument/2006/relationships/image" Target="media/image431.png"/><Relationship Id="rId510" Type="http://schemas.openxmlformats.org/officeDocument/2006/relationships/image" Target="media/image432.png"/><Relationship Id="rId511" Type="http://schemas.openxmlformats.org/officeDocument/2006/relationships/image" Target="media/image433.png"/><Relationship Id="rId512" Type="http://schemas.openxmlformats.org/officeDocument/2006/relationships/image" Target="media/image434.png"/><Relationship Id="rId513" Type="http://schemas.openxmlformats.org/officeDocument/2006/relationships/image" Target="media/image435.png"/><Relationship Id="rId514" Type="http://schemas.openxmlformats.org/officeDocument/2006/relationships/image" Target="media/image436.png"/><Relationship Id="rId515" Type="http://schemas.openxmlformats.org/officeDocument/2006/relationships/image" Target="media/image437.png"/><Relationship Id="rId516" Type="http://schemas.openxmlformats.org/officeDocument/2006/relationships/image" Target="media/image438.png"/><Relationship Id="rId517" Type="http://schemas.openxmlformats.org/officeDocument/2006/relationships/image" Target="media/image439.png"/><Relationship Id="rId518" Type="http://schemas.openxmlformats.org/officeDocument/2006/relationships/image" Target="media/image440.png"/><Relationship Id="rId519" Type="http://schemas.openxmlformats.org/officeDocument/2006/relationships/image" Target="media/image441.png"/><Relationship Id="rId520" Type="http://schemas.openxmlformats.org/officeDocument/2006/relationships/image" Target="media/image442.png"/><Relationship Id="rId521" Type="http://schemas.openxmlformats.org/officeDocument/2006/relationships/image" Target="media/image443.png"/><Relationship Id="rId522" Type="http://schemas.openxmlformats.org/officeDocument/2006/relationships/image" Target="media/image444.png"/><Relationship Id="rId523" Type="http://schemas.openxmlformats.org/officeDocument/2006/relationships/image" Target="media/image445.png"/><Relationship Id="rId524" Type="http://schemas.openxmlformats.org/officeDocument/2006/relationships/image" Target="media/image446.png"/><Relationship Id="rId525" Type="http://schemas.openxmlformats.org/officeDocument/2006/relationships/image" Target="media/image447.png"/><Relationship Id="rId526" Type="http://schemas.openxmlformats.org/officeDocument/2006/relationships/image" Target="media/image448.png"/><Relationship Id="rId527" Type="http://schemas.openxmlformats.org/officeDocument/2006/relationships/image" Target="media/image449.png"/><Relationship Id="rId528" Type="http://schemas.openxmlformats.org/officeDocument/2006/relationships/image" Target="media/image450.png"/><Relationship Id="rId529" Type="http://schemas.openxmlformats.org/officeDocument/2006/relationships/image" Target="media/image451.png"/><Relationship Id="rId530" Type="http://schemas.openxmlformats.org/officeDocument/2006/relationships/image" Target="media/image452.png"/><Relationship Id="rId531" Type="http://schemas.openxmlformats.org/officeDocument/2006/relationships/image" Target="media/image453.png"/><Relationship Id="rId532" Type="http://schemas.openxmlformats.org/officeDocument/2006/relationships/image" Target="media/image454.png"/><Relationship Id="rId533" Type="http://schemas.openxmlformats.org/officeDocument/2006/relationships/image" Target="media/image455.png"/><Relationship Id="rId534" Type="http://schemas.openxmlformats.org/officeDocument/2006/relationships/image" Target="media/image456.png"/><Relationship Id="rId535" Type="http://schemas.openxmlformats.org/officeDocument/2006/relationships/image" Target="media/image457.png"/><Relationship Id="rId536" Type="http://schemas.openxmlformats.org/officeDocument/2006/relationships/image" Target="media/image458.png"/><Relationship Id="rId537" Type="http://schemas.openxmlformats.org/officeDocument/2006/relationships/image" Target="media/image459.png"/><Relationship Id="rId538" Type="http://schemas.openxmlformats.org/officeDocument/2006/relationships/image" Target="media/image460.png"/><Relationship Id="rId539" Type="http://schemas.openxmlformats.org/officeDocument/2006/relationships/image" Target="media/image461.png"/><Relationship Id="rId540" Type="http://schemas.openxmlformats.org/officeDocument/2006/relationships/image" Target="media/image462.png"/><Relationship Id="rId541" Type="http://schemas.openxmlformats.org/officeDocument/2006/relationships/image" Target="media/image463.png"/><Relationship Id="rId542" Type="http://schemas.openxmlformats.org/officeDocument/2006/relationships/image" Target="media/image464.png"/><Relationship Id="rId543" Type="http://schemas.openxmlformats.org/officeDocument/2006/relationships/image" Target="media/image465.png"/><Relationship Id="rId544" Type="http://schemas.openxmlformats.org/officeDocument/2006/relationships/image" Target="media/image466.png"/><Relationship Id="rId545" Type="http://schemas.openxmlformats.org/officeDocument/2006/relationships/image" Target="media/image467.png"/><Relationship Id="rId546" Type="http://schemas.openxmlformats.org/officeDocument/2006/relationships/image" Target="media/image468.png"/><Relationship Id="rId547" Type="http://schemas.openxmlformats.org/officeDocument/2006/relationships/image" Target="media/image469.png"/><Relationship Id="rId548" Type="http://schemas.openxmlformats.org/officeDocument/2006/relationships/image" Target="media/image470.png"/><Relationship Id="rId549" Type="http://schemas.openxmlformats.org/officeDocument/2006/relationships/image" Target="media/image471.png"/><Relationship Id="rId550" Type="http://schemas.openxmlformats.org/officeDocument/2006/relationships/image" Target="media/image472.png"/><Relationship Id="rId551" Type="http://schemas.openxmlformats.org/officeDocument/2006/relationships/image" Target="media/image473.png"/><Relationship Id="rId552" Type="http://schemas.openxmlformats.org/officeDocument/2006/relationships/image" Target="media/image474.png"/><Relationship Id="rId553" Type="http://schemas.openxmlformats.org/officeDocument/2006/relationships/image" Target="media/image475.png"/><Relationship Id="rId554" Type="http://schemas.openxmlformats.org/officeDocument/2006/relationships/image" Target="media/image476.png"/><Relationship Id="rId555" Type="http://schemas.openxmlformats.org/officeDocument/2006/relationships/image" Target="media/image477.png"/><Relationship Id="rId556" Type="http://schemas.openxmlformats.org/officeDocument/2006/relationships/image" Target="media/image478.png"/><Relationship Id="rId557" Type="http://schemas.openxmlformats.org/officeDocument/2006/relationships/image" Target="media/image479.png"/><Relationship Id="rId558" Type="http://schemas.openxmlformats.org/officeDocument/2006/relationships/image" Target="media/image480.png"/><Relationship Id="rId559" Type="http://schemas.openxmlformats.org/officeDocument/2006/relationships/image" Target="media/image481.png"/><Relationship Id="rId560" Type="http://schemas.openxmlformats.org/officeDocument/2006/relationships/image" Target="media/image482.png"/><Relationship Id="rId561" Type="http://schemas.openxmlformats.org/officeDocument/2006/relationships/image" Target="media/image483.png"/><Relationship Id="rId562" Type="http://schemas.openxmlformats.org/officeDocument/2006/relationships/image" Target="media/image484.png"/><Relationship Id="rId563" Type="http://schemas.openxmlformats.org/officeDocument/2006/relationships/image" Target="media/image485.png"/><Relationship Id="rId564" Type="http://schemas.openxmlformats.org/officeDocument/2006/relationships/image" Target="media/image486.png"/><Relationship Id="rId565" Type="http://schemas.openxmlformats.org/officeDocument/2006/relationships/image" Target="media/image487.png"/><Relationship Id="rId566" Type="http://schemas.openxmlformats.org/officeDocument/2006/relationships/image" Target="media/image488.png"/><Relationship Id="rId567" Type="http://schemas.openxmlformats.org/officeDocument/2006/relationships/image" Target="media/image489.png"/><Relationship Id="rId568" Type="http://schemas.openxmlformats.org/officeDocument/2006/relationships/image" Target="media/image490.png"/><Relationship Id="rId569" Type="http://schemas.openxmlformats.org/officeDocument/2006/relationships/image" Target="media/image491.png"/><Relationship Id="rId570" Type="http://schemas.openxmlformats.org/officeDocument/2006/relationships/image" Target="media/image492.png"/><Relationship Id="rId571" Type="http://schemas.openxmlformats.org/officeDocument/2006/relationships/image" Target="media/image493.png"/><Relationship Id="rId572" Type="http://schemas.openxmlformats.org/officeDocument/2006/relationships/image" Target="media/image494.png"/><Relationship Id="rId573" Type="http://schemas.openxmlformats.org/officeDocument/2006/relationships/image" Target="media/image495.png"/><Relationship Id="rId574" Type="http://schemas.openxmlformats.org/officeDocument/2006/relationships/image" Target="media/image496.png"/><Relationship Id="rId575" Type="http://schemas.openxmlformats.org/officeDocument/2006/relationships/image" Target="media/image497.png"/><Relationship Id="rId576" Type="http://schemas.openxmlformats.org/officeDocument/2006/relationships/image" Target="media/image498.png"/><Relationship Id="rId577" Type="http://schemas.openxmlformats.org/officeDocument/2006/relationships/image" Target="media/image499.png"/><Relationship Id="rId578" Type="http://schemas.openxmlformats.org/officeDocument/2006/relationships/image" Target="media/image500.png"/><Relationship Id="rId579" Type="http://schemas.openxmlformats.org/officeDocument/2006/relationships/image" Target="media/image501.png"/><Relationship Id="rId580" Type="http://schemas.openxmlformats.org/officeDocument/2006/relationships/image" Target="media/image502.png"/><Relationship Id="rId581" Type="http://schemas.openxmlformats.org/officeDocument/2006/relationships/image" Target="media/image503.png"/><Relationship Id="rId582" Type="http://schemas.openxmlformats.org/officeDocument/2006/relationships/image" Target="media/image504.png"/><Relationship Id="rId583" Type="http://schemas.openxmlformats.org/officeDocument/2006/relationships/image" Target="media/image505.png"/><Relationship Id="rId584" Type="http://schemas.openxmlformats.org/officeDocument/2006/relationships/image" Target="media/image506.png"/><Relationship Id="rId585" Type="http://schemas.openxmlformats.org/officeDocument/2006/relationships/image" Target="media/image507.png"/><Relationship Id="rId586" Type="http://schemas.openxmlformats.org/officeDocument/2006/relationships/image" Target="media/image508.png"/><Relationship Id="rId587" Type="http://schemas.openxmlformats.org/officeDocument/2006/relationships/image" Target="media/image509.png"/><Relationship Id="rId588" Type="http://schemas.openxmlformats.org/officeDocument/2006/relationships/image" Target="media/image510.png"/><Relationship Id="rId589" Type="http://schemas.openxmlformats.org/officeDocument/2006/relationships/image" Target="media/image511.png"/><Relationship Id="rId590" Type="http://schemas.openxmlformats.org/officeDocument/2006/relationships/image" Target="media/image512.png"/><Relationship Id="rId591" Type="http://schemas.openxmlformats.org/officeDocument/2006/relationships/image" Target="media/image513.png"/><Relationship Id="rId592" Type="http://schemas.openxmlformats.org/officeDocument/2006/relationships/image" Target="media/image514.png"/><Relationship Id="rId593" Type="http://schemas.openxmlformats.org/officeDocument/2006/relationships/image" Target="media/image515.png"/><Relationship Id="rId594" Type="http://schemas.openxmlformats.org/officeDocument/2006/relationships/image" Target="media/image516.png"/><Relationship Id="rId595" Type="http://schemas.openxmlformats.org/officeDocument/2006/relationships/image" Target="media/image517.png"/><Relationship Id="rId596" Type="http://schemas.openxmlformats.org/officeDocument/2006/relationships/image" Target="media/image518.png"/><Relationship Id="rId597" Type="http://schemas.openxmlformats.org/officeDocument/2006/relationships/image" Target="media/image519.png"/><Relationship Id="rId598" Type="http://schemas.openxmlformats.org/officeDocument/2006/relationships/image" Target="media/image520.png"/><Relationship Id="rId599" Type="http://schemas.openxmlformats.org/officeDocument/2006/relationships/image" Target="media/image521.png"/><Relationship Id="rId600" Type="http://schemas.openxmlformats.org/officeDocument/2006/relationships/image" Target="media/image522.png"/><Relationship Id="rId601" Type="http://schemas.openxmlformats.org/officeDocument/2006/relationships/image" Target="media/image523.png"/><Relationship Id="rId602" Type="http://schemas.openxmlformats.org/officeDocument/2006/relationships/image" Target="media/image524.png"/><Relationship Id="rId603" Type="http://schemas.openxmlformats.org/officeDocument/2006/relationships/image" Target="media/image525.png"/><Relationship Id="rId604" Type="http://schemas.openxmlformats.org/officeDocument/2006/relationships/image" Target="media/image526.png"/><Relationship Id="rId605" Type="http://schemas.openxmlformats.org/officeDocument/2006/relationships/image" Target="media/image527.png"/><Relationship Id="rId606" Type="http://schemas.openxmlformats.org/officeDocument/2006/relationships/image" Target="media/image528.png"/><Relationship Id="rId607" Type="http://schemas.openxmlformats.org/officeDocument/2006/relationships/image" Target="media/image529.png"/><Relationship Id="rId608" Type="http://schemas.openxmlformats.org/officeDocument/2006/relationships/image" Target="media/image530.png"/><Relationship Id="rId609" Type="http://schemas.openxmlformats.org/officeDocument/2006/relationships/image" Target="media/image531.png"/><Relationship Id="rId610" Type="http://schemas.openxmlformats.org/officeDocument/2006/relationships/image" Target="media/image532.png"/><Relationship Id="rId611" Type="http://schemas.openxmlformats.org/officeDocument/2006/relationships/image" Target="media/image533.png"/><Relationship Id="rId612" Type="http://schemas.openxmlformats.org/officeDocument/2006/relationships/image" Target="media/image534.png"/><Relationship Id="rId613" Type="http://schemas.openxmlformats.org/officeDocument/2006/relationships/image" Target="media/image535.png"/><Relationship Id="rId614" Type="http://schemas.openxmlformats.org/officeDocument/2006/relationships/image" Target="media/image536.png"/><Relationship Id="rId615" Type="http://schemas.openxmlformats.org/officeDocument/2006/relationships/image" Target="media/image537.png"/><Relationship Id="rId616" Type="http://schemas.openxmlformats.org/officeDocument/2006/relationships/image" Target="media/image538.png"/><Relationship Id="rId617" Type="http://schemas.openxmlformats.org/officeDocument/2006/relationships/image" Target="media/image539.png"/><Relationship Id="rId618" Type="http://schemas.openxmlformats.org/officeDocument/2006/relationships/image" Target="media/image540.png"/><Relationship Id="rId619" Type="http://schemas.openxmlformats.org/officeDocument/2006/relationships/image" Target="media/image541.png"/><Relationship Id="rId620" Type="http://schemas.openxmlformats.org/officeDocument/2006/relationships/image" Target="media/image542.png"/><Relationship Id="rId621" Type="http://schemas.openxmlformats.org/officeDocument/2006/relationships/image" Target="media/image543.png"/><Relationship Id="rId622" Type="http://schemas.openxmlformats.org/officeDocument/2006/relationships/image" Target="media/image544.png"/><Relationship Id="rId623" Type="http://schemas.openxmlformats.org/officeDocument/2006/relationships/image" Target="media/image545.png"/><Relationship Id="rId624" Type="http://schemas.openxmlformats.org/officeDocument/2006/relationships/image" Target="media/image546.png"/><Relationship Id="rId625" Type="http://schemas.openxmlformats.org/officeDocument/2006/relationships/image" Target="media/image547.png"/><Relationship Id="rId626" Type="http://schemas.openxmlformats.org/officeDocument/2006/relationships/image" Target="media/image548.png"/><Relationship Id="rId627" Type="http://schemas.openxmlformats.org/officeDocument/2006/relationships/image" Target="media/image549.png"/><Relationship Id="rId628" Type="http://schemas.openxmlformats.org/officeDocument/2006/relationships/image" Target="media/image550.png"/><Relationship Id="rId629" Type="http://schemas.openxmlformats.org/officeDocument/2006/relationships/image" Target="media/image551.png"/><Relationship Id="rId630" Type="http://schemas.openxmlformats.org/officeDocument/2006/relationships/image" Target="media/image552.png"/><Relationship Id="rId631" Type="http://schemas.openxmlformats.org/officeDocument/2006/relationships/image" Target="media/image553.png"/><Relationship Id="rId632" Type="http://schemas.openxmlformats.org/officeDocument/2006/relationships/image" Target="media/image554.png"/><Relationship Id="rId178" Type="http://schemas.openxmlformats.org/officeDocument/2006/relationships/hyperlink" Target="https://www.sec.gov/Archives/edgar/data/873303/000119312513250177/d548510dex21.htm" TargetMode="External"/><Relationship Id="rId179" Type="http://schemas.openxmlformats.org/officeDocument/2006/relationships/hyperlink" Target="https://www.sec.gov/Archives/edgar/data/873303/000156459018020534/srpt-ex21_195.htm" TargetMode="External"/><Relationship Id="rId180" Type="http://schemas.openxmlformats.org/officeDocument/2006/relationships/hyperlink" Target="https://www.sec.gov/Archives/edgar/data/873303/000119312513250177/d548510dex31.htm" TargetMode="External"/><Relationship Id="rId181" Type="http://schemas.openxmlformats.org/officeDocument/2006/relationships/hyperlink" Target="https://www.sec.gov/Archives/edgar/data/873303/000119312515241465/d47415dex31.htm" TargetMode="External"/><Relationship Id="rId182" Type="http://schemas.openxmlformats.org/officeDocument/2006/relationships/hyperlink" Target="https://www.sec.gov/Archives/edgar/data/873303/000119312514353200/d794626dex31.htm" TargetMode="External"/><Relationship Id="rId183" Type="http://schemas.openxmlformats.org/officeDocument/2006/relationships/hyperlink" Target="https://www.sec.gov/Archives/edgar/data/873303/000156459020000918/srpt-ex31_7.htm" TargetMode="External"/><Relationship Id="rId184" Type="http://schemas.openxmlformats.org/officeDocument/2006/relationships/hyperlink" Target="https://www.sec.gov/Archives/edgar/data/873303/000156459020028562/srpt-ex31_24.htm" TargetMode="External"/><Relationship Id="rId185" Type="http://schemas.openxmlformats.org/officeDocument/2006/relationships/hyperlink" Target="https://www.sec.gov/Archives/edgar/data/873303/000119312513325439/d547562dex41.htm" TargetMode="External"/><Relationship Id="rId188" Type="http://schemas.openxmlformats.org/officeDocument/2006/relationships/hyperlink" Target="https://www.sec.gov/Archives/edgar/data/873303/000119312517342583/d495782dex41.htm" TargetMode="External"/><Relationship Id="rId189" Type="http://schemas.openxmlformats.org/officeDocument/2006/relationships/hyperlink" Target="https://www.sec.gov/Archives/edgar/data/873303/000156459020006769/srpt-ex44_474.htm" TargetMode="External"/><Relationship Id="rId190" Type="http://schemas.openxmlformats.org/officeDocument/2006/relationships/hyperlink" Target="https://www.sec.gov/Archives/edgar/data/873303/000091205702014637/a2075679zdef14a.htm" TargetMode="External"/><Relationship Id="rId191" Type="http://schemas.openxmlformats.org/officeDocument/2006/relationships/hyperlink" Target="https://www.sec.gov/Archives/edgar/data/873303/000119312516640523/d395691dex101.htm" TargetMode="External"/><Relationship Id="rId192" Type="http://schemas.openxmlformats.org/officeDocument/2006/relationships/hyperlink" Target="https://www.sec.gov/Archives/edgar/data/873303/000156459017002842/srpt-ex1013_441.htm" TargetMode="External"/><Relationship Id="rId193" Type="http://schemas.openxmlformats.org/officeDocument/2006/relationships/hyperlink" Target="https://www.sec.gov/Archives/edgar/data/873303/000156459017002842/srpt-ex1014_440.htm" TargetMode="External"/><Relationship Id="rId194" Type="http://schemas.openxmlformats.org/officeDocument/2006/relationships/hyperlink" Target="https://www.sec.gov/Archives/edgar/data/873303/000156459017002842/srpt-ex1017_438.htm" TargetMode="External"/><Relationship Id="rId195" Type="http://schemas.openxmlformats.org/officeDocument/2006/relationships/hyperlink" Target="https://www.sec.gov/Archives/edgar/data/873303/000156459017002842/srpt-ex1018_439.htm" TargetMode="External"/><Relationship Id="rId196" Type="http://schemas.openxmlformats.org/officeDocument/2006/relationships/hyperlink" Target="https://www.sec.gov/Archives/edgar/data/873303/000119312516640523/d395691dex102.htm" TargetMode="External"/><Relationship Id="rId197" Type="http://schemas.openxmlformats.org/officeDocument/2006/relationships/hyperlink" Target="https://www.sec.gov/Archives/edgar/data/873303/000119312516478410/d132588dex44.htm" TargetMode="External"/><Relationship Id="rId198" Type="http://schemas.openxmlformats.org/officeDocument/2006/relationships/hyperlink" Target="https://www.sec.gov/Archives/edgar/data/873303/000119312514080447/d628320dex1028.htm" TargetMode="External"/><Relationship Id="rId199" Type="http://schemas.openxmlformats.org/officeDocument/2006/relationships/hyperlink" Target="https://www.sec.gov/Archives/edgar/data/873303/000119312513211458/d511409dex101.htm" TargetMode="External"/><Relationship Id="rId200" Type="http://schemas.openxmlformats.org/officeDocument/2006/relationships/hyperlink" Target="https://www.sec.gov/Archives/edgar/data/873303/000156459016023663/srpt-ex101_731.htm" TargetMode="External"/><Relationship Id="rId201" Type="http://schemas.openxmlformats.org/officeDocument/2006/relationships/hyperlink" Target="https://www.sec.gov/Archives/edgar/data/873303/000119312513279812/d551926dex101.htm" TargetMode="External"/><Relationship Id="rId202" Type="http://schemas.openxmlformats.org/officeDocument/2006/relationships/hyperlink" Target="https://www.sec.gov/Archives/edgar/data/873303/000119312515241465/d47415dex101.htm" TargetMode="External"/><Relationship Id="rId203" Type="http://schemas.openxmlformats.org/officeDocument/2006/relationships/hyperlink" Target="https://www.sec.gov/Archives/edgar/data/873303/000156459017008747/srpt-ex101_27.htm" TargetMode="External"/><Relationship Id="rId204" Type="http://schemas.openxmlformats.org/officeDocument/2006/relationships/hyperlink" Target="https://www.sec.gov/Archives/edgar/data/873303/000119312517216576/d442960dex101.htm" TargetMode="External"/><Relationship Id="rId205" Type="http://schemas.openxmlformats.org/officeDocument/2006/relationships/hyperlink" Target="https://www.sec.gov/Archives/edgar/data/873303/000119312517216576/d442960dex102.htm" TargetMode="External"/><Relationship Id="rId206" Type="http://schemas.openxmlformats.org/officeDocument/2006/relationships/hyperlink" Target="https://www.sec.gov/Archives/edgar/data/873303/000119312517216576/d442960dex103.htm" TargetMode="External"/><Relationship Id="rId207" Type="http://schemas.openxmlformats.org/officeDocument/2006/relationships/hyperlink" Target="https://www.sec.gov/Archives/edgar/data/873303/000119312517216576/d442960dex104.htm" TargetMode="External"/><Relationship Id="rId208" Type="http://schemas.openxmlformats.org/officeDocument/2006/relationships/hyperlink" Target="https://www.sec.gov/Archives/edgar/data/873303/000119312517216576/d442960dex105.htm" TargetMode="External"/><Relationship Id="rId211" Type="http://schemas.openxmlformats.org/officeDocument/2006/relationships/hyperlink" Target="https://www.sec.gov/Archives/edgar/data/873303/000156459017015393/srpt-ex107_541.htm" TargetMode="External"/><Relationship Id="rId212" Type="http://schemas.openxmlformats.org/officeDocument/2006/relationships/hyperlink" Target="https://www.sec.gov/Archives/edgar/data/873303/000156459017015393/srpt-ex108_540.htm" TargetMode="External"/><Relationship Id="rId213" Type="http://schemas.openxmlformats.org/officeDocument/2006/relationships/hyperlink" Target="https://www.sec.gov/Archives/edgar/data/873303/000119312517342583/d495782dex101.htm" TargetMode="External"/><Relationship Id="rId214" Type="http://schemas.openxmlformats.org/officeDocument/2006/relationships/hyperlink" Target="https://www.sec.gov/Archives/edgar/data/873303/000119312517342583/d495782dex102.htm" TargetMode="External"/><Relationship Id="rId215" Type="http://schemas.openxmlformats.org/officeDocument/2006/relationships/hyperlink" Target="https://www.sec.gov/Archives/edgar/data/873303/000119312517342583/d495782dex103.htm" TargetMode="External"/><Relationship Id="rId216" Type="http://schemas.openxmlformats.org/officeDocument/2006/relationships/hyperlink" Target="https://www.sec.gov/Archives/edgar/data/873303/000119312517342583/d495782dex104.htm" TargetMode="External"/><Relationship Id="rId217" Type="http://schemas.openxmlformats.org/officeDocument/2006/relationships/hyperlink" Target="https://www.sec.gov/Archives/edgar/data/873303/000156459018010662/srpt-ex104_284.htm" TargetMode="External"/><Relationship Id="rId218" Type="http://schemas.openxmlformats.org/officeDocument/2006/relationships/hyperlink" Target="https://www.sec.gov/Archives/edgar/data/873303/000156459018020534/srpt-ex101_193.htm" TargetMode="External"/><Relationship Id="rId219" Type="http://schemas.openxmlformats.org/officeDocument/2006/relationships/hyperlink" Target="https://www.sec.gov/Archives/edgar/data/873303/000156459018020534/srpt-ex102_194.htm" TargetMode="External"/><Relationship Id="rId220" Type="http://schemas.openxmlformats.org/officeDocument/2006/relationships/hyperlink" Target="https://www.sec.gov/Archives/edgar/data/873303/000156459018020534/srpt-ex103_191.htm" TargetMode="External"/><Relationship Id="rId221" Type="http://schemas.openxmlformats.org/officeDocument/2006/relationships/hyperlink" Target="https://www.sec.gov/Archives/edgar/data/873303/000156459018020534/srpt-ex104_190.htm" TargetMode="External"/><Relationship Id="rId222" Type="http://schemas.openxmlformats.org/officeDocument/2006/relationships/hyperlink" Target="https://www.sec.gov/Archives/edgar/data/873303/000156459018020534/srpt-ex105_189.htm" TargetMode="External"/><Relationship Id="rId223" Type="http://schemas.openxmlformats.org/officeDocument/2006/relationships/hyperlink" Target="https://www.sec.gov/Archives/edgar/data/873303/000156459018020534/srpt-ex106_196.htm" TargetMode="External"/><Relationship Id="rId224" Type="http://schemas.openxmlformats.org/officeDocument/2006/relationships/hyperlink" Target="https://www.sec.gov/Archives/edgar/data/873303/000156459018025831/srpt-ex101_401.htm" TargetMode="External"/><Relationship Id="rId225" Type="http://schemas.openxmlformats.org/officeDocument/2006/relationships/hyperlink" Target="https://www.sec.gov/Archives/edgar/data/873303/000156459018025831/srpt-ex102_402.htm" TargetMode="External"/><Relationship Id="rId226" Type="http://schemas.openxmlformats.org/officeDocument/2006/relationships/hyperlink" Target="https://www.sec.gov/Archives/edgar/data/873303/000156459018025831/srpt-ex103_403.htm" TargetMode="External"/><Relationship Id="rId229" Type="http://schemas.openxmlformats.org/officeDocument/2006/relationships/hyperlink" Target="https://www.sec.gov/Archives/edgar/data/873303/000156459018025831/srpt-ex104_404.htm" TargetMode="External"/><Relationship Id="rId230" Type="http://schemas.openxmlformats.org/officeDocument/2006/relationships/hyperlink" Target="https://www.sec.gov/Archives/edgar/data/873303/000156459019005170/srpt-ex1075_366.htm" TargetMode="External"/><Relationship Id="rId231" Type="http://schemas.openxmlformats.org/officeDocument/2006/relationships/hyperlink" Target="https://www.sec.gov/Archives/edgar/data/873303/000156459019030035/srpt-ex101_243.htm" TargetMode="External"/><Relationship Id="rId232" Type="http://schemas.openxmlformats.org/officeDocument/2006/relationships/hyperlink" Target="https://www.sec.gov/Archives/edgar/data/873303/000156459019030035/srpt-ex104_240.htm" TargetMode="External"/><Relationship Id="rId233" Type="http://schemas.openxmlformats.org/officeDocument/2006/relationships/hyperlink" Target="https://www.sec.gov/Archives/edgar/data/873303/000156459019017175/srpt-ex101_216.htm" TargetMode="External"/><Relationship Id="rId234" Type="http://schemas.openxmlformats.org/officeDocument/2006/relationships/hyperlink" Target="https://www.sec.gov/Archives/edgar/data/873303/000156459019017175/srpt-ex102_217.htm" TargetMode="External"/><Relationship Id="rId235" Type="http://schemas.openxmlformats.org/officeDocument/2006/relationships/hyperlink" Target="https://www.sec.gov/Archives/edgar/data/873303/000156459019017175/srpt-ex103_218.htm" TargetMode="External"/><Relationship Id="rId236" Type="http://schemas.openxmlformats.org/officeDocument/2006/relationships/hyperlink" Target="https://www.sec.gov/Archives/edgar/data/873303/000156459020006769/srpt-ex1051_473.htm" TargetMode="External"/><Relationship Id="rId237" Type="http://schemas.openxmlformats.org/officeDocument/2006/relationships/hyperlink" Target="https://www.sec.gov/Archives/edgar/data/873303/000156459020006769/srpt-ex1052_472.htm" TargetMode="External"/><Relationship Id="rId238" Type="http://schemas.openxmlformats.org/officeDocument/2006/relationships/hyperlink" Target="https://www.sec.gov/Archives/edgar/data/873303/000156459020006769/srpt-ex1053_468.htm" TargetMode="External"/><Relationship Id="rId239" Type="http://schemas.openxmlformats.org/officeDocument/2006/relationships/hyperlink" Target="https://www.sec.gov/Archives/edgar/data/873303/000156459020006769/srpt-ex1054_471.htm" TargetMode="External"/><Relationship Id="rId240" Type="http://schemas.openxmlformats.org/officeDocument/2006/relationships/hyperlink" Target="https://www.sec.gov/Archives/edgar/data/873303/000156459020006769/srpt-ex1055_470.htm" TargetMode="External"/><Relationship Id="rId241" Type="http://schemas.openxmlformats.org/officeDocument/2006/relationships/hyperlink" Target="https://www.sec.gov/Archives/edgar/data/873303/000156459020006769/srpt-ex1056_469.htm" TargetMode="External"/><Relationship Id="rId242" Type="http://schemas.openxmlformats.org/officeDocument/2006/relationships/hyperlink" Target="https://www.sec.gov/Archives/edgar/data/873303/000156459020006769/srpt-ex1057_467.htm" TargetMode="External"/><Relationship Id="rId243" Type="http://schemas.openxmlformats.org/officeDocument/2006/relationships/hyperlink" Target="https://www.sec.gov/Archives/edgar/data/873303/000156459020005773/srpt-ex101_7.htm" TargetMode="External"/><Relationship Id="rId244" Type="http://schemas.openxmlformats.org/officeDocument/2006/relationships/hyperlink" Target="https://www.sec.gov/Archives/edgar/data/873303/000156459020028562/srpt-ex101_25.htm" TargetMode="External"/><Relationship Id="rId245" Type="http://schemas.openxmlformats.org/officeDocument/2006/relationships/hyperlink" Target="https://www.sec.gov/Archives/edgar/data/873303/000156459020051308/srpt-ex101_14.htm" TargetMode="External"/><Relationship Id="rId246" Type="http://schemas.openxmlformats.org/officeDocument/2006/relationships/hyperlink" Target="https://www.sec.gov/Archives/edgar/data/873303/000156459021009835/srpt-ex1059_751.htm" TargetMode="External"/><Relationship Id="rId249" Type="http://schemas.openxmlformats.org/officeDocument/2006/relationships/hyperlink" Target="https://www.sec.gov/Archives/edgar/data/873303/000156459021009835/srpt-ex1060_754.htm" TargetMode="External"/><Relationship Id="rId252" Type="http://schemas.openxmlformats.org/officeDocument/2006/relationships/hyperlink" Target="https://www.sec.gov/Archives/edgar/data/873303/000156459021009835/srpt-ex1061_755.htm" TargetMode="External"/><Relationship Id="rId255" Type="http://schemas.openxmlformats.org/officeDocument/2006/relationships/hyperlink" Target="https://www.sec.gov/Archives/edgar/data/873303/000156459021009835/srpt-ex1062_753.htm" TargetMode="External"/><Relationship Id="rId258" Type="http://schemas.openxmlformats.org/officeDocument/2006/relationships/hyperlink" Target="https://www.sec.gov/Archives/edgar/data/873303/000156459021040787/srpt-ex101_217.htm" TargetMode="External"/><Relationship Id="rId263" Type="http://schemas.openxmlformats.org/officeDocument/2006/relationships/hyperlink" Target="https://www.sec.gov/Archives/edgar/data/873303/000156459021040787/srpt-ex102_216.htm" TargetMode="External"/><Relationship Id="rId268" Type="http://schemas.openxmlformats.org/officeDocument/2006/relationships/hyperlink" Target="https://www.sec.gov/Archives/edgar/data/873303/000156459021040787/srpt-ex103_219.htm" TargetMode="External"/><Relationship Id="rId273" Type="http://schemas.openxmlformats.org/officeDocument/2006/relationships/hyperlink" Target="https://www.sec.gov/Archives/edgar/data/873303/000156459021040787/srpt-ex104_218.htm" TargetMode="External"/><Relationship Id="rId278" Type="http://schemas.openxmlformats.org/officeDocument/2006/relationships/hyperlink" Target="https://www.sec.gov/Archives/edgar/data/873303/000095017021002815/srp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2022-03-01T21:09:37Z</dcterms:created>
  <dcterms:modified xsi:type="dcterms:W3CDTF">2022-03-01T21:09:37Z</dcterms:modified>
</cp:coreProperties>
</file>